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400"/>
      </w:pPr>
      <w:r>
        <w:t xml:space="preserve"/>
      </w:r>
    </w:p>
    <w:p>
      <w:pPr>
        <w:spacing w:after="120"/>
        <w:jc w:val="center"/>
      </w:pPr>
      <w:r>
        <w:rPr>
          <w:rFonts w:ascii="Calibri" w:cs="Calibri" w:eastAsia="Calibri" w:hAnsi="Calibri"/>
          <w:b/>
          <w:bCs/>
          <w:color w:val="1E2761"/>
          <w:spacing w:val="80"/>
          <w:sz w:val="22"/>
          <w:szCs w:val="22"/>
        </w:rPr>
        <w:t xml:space="preserve">BOOK PROPOSAL</w:t>
      </w:r>
    </w:p>
    <w:p>
      <w:pPr>
        <w:spacing w:after="120" w:before="240"/>
        <w:jc w:val="center"/>
      </w:pPr>
      <w:r>
        <w:rPr>
          <w:rFonts w:ascii="Georgia" w:cs="Georgia" w:eastAsia="Georgia" w:hAnsi="Georgia"/>
          <w:b/>
          <w:bCs/>
          <w:color w:val="111111"/>
          <w:sz w:val="120"/>
          <w:szCs w:val="120"/>
        </w:rPr>
        <w:t xml:space="preserve">SIC</w:t>
      </w:r>
    </w:p>
    <w:p>
      <w:pPr>
        <w:spacing w:after="600"/>
        <w:jc w:val="center"/>
      </w:pPr>
      <w:r>
        <w:rPr>
          <w:rFonts w:ascii="Georgia" w:cs="Georgia" w:eastAsia="Georgia" w:hAnsi="Georgia"/>
          <w:i/>
          <w:iCs/>
          <w:color w:val="333333"/>
          <w:sz w:val="32"/>
          <w:szCs w:val="32"/>
        </w:rPr>
        <w:t xml:space="preserve">How the Sick-Care System Was Built — and the Door Out of It</w:t>
      </w:r>
    </w:p>
    <w:p>
      <w:pPr>
        <w:spacing w:after="80"/>
        <w:jc w:val="center"/>
      </w:pPr>
      <w:r>
        <w:rPr>
          <w:rFonts w:ascii="Calibri" w:cs="Calibri" w:eastAsia="Calibri" w:hAnsi="Calibri"/>
          <w:color w:val="5A6472"/>
          <w:sz w:val="22"/>
          <w:szCs w:val="22"/>
        </w:rPr>
        <w:t xml:space="preserve">A non-fiction investigation and longevity manifesto by</w:t>
      </w:r>
    </w:p>
    <w:p>
      <w:pPr>
        <w:spacing w:after="1200"/>
        <w:jc w:val="center"/>
      </w:pPr>
      <w:r>
        <w:rPr>
          <w:rFonts w:ascii="Georgia" w:cs="Georgia" w:eastAsia="Georgia" w:hAnsi="Georgia"/>
          <w:b/>
          <w:bCs/>
          <w:sz w:val="40"/>
          <w:szCs w:val="40"/>
        </w:rPr>
        <w:t xml:space="preserve">Steven A. Hunt, MBA</w:t>
      </w:r>
    </w:p>
    <w:p>
      <w:pPr>
        <w:spacing w:after="40"/>
        <w:jc w:val="center"/>
      </w:pPr>
      <w:r>
        <w:rPr>
          <w:rFonts w:ascii="Calibri" w:cs="Calibri" w:eastAsia="Calibri" w:hAnsi="Calibri"/>
          <w:color w:val="5A6472"/>
          <w:sz w:val="20"/>
          <w:szCs w:val="20"/>
        </w:rPr>
        <w:t xml:space="preserve">Approximately 80,000 words  ·  10 chapters, 3 parts</w:t>
      </w:r>
    </w:p>
    <w:p>
      <w:pPr>
        <w:spacing w:after="40"/>
        <w:jc w:val="center"/>
      </w:pPr>
      <w:r>
        <w:rPr>
          <w:rFonts w:ascii="Calibri" w:cs="Calibri" w:eastAsia="Calibri" w:hAnsi="Calibri"/>
          <w:color w:val="5A6472"/>
          <w:sz w:val="20"/>
          <w:szCs w:val="20"/>
        </w:rPr>
        <w:t xml:space="preserve">Manuscript: Final edit  ·  Available: Q3 2026</w:t>
      </w:r>
    </w:p>
    <w:p>
      <w:pPr>
        <w:spacing w:after="600"/>
        <w:jc w:val="center"/>
      </w:pPr>
      <w:r>
        <w:rPr>
          <w:rFonts w:ascii="Calibri" w:cs="Calibri" w:eastAsia="Calibri" w:hAnsi="Calibri"/>
          <w:color w:val="5A6472"/>
          <w:sz w:val="20"/>
          <w:szCs w:val="20"/>
        </w:rPr>
        <w:t xml:space="preserve">Categories: Health &amp; Wellness · Longevity · Investigative Non-fiction</w:t>
      </w:r>
    </w:p>
    <w:p>
      <w:pPr>
        <w:spacing w:after="40"/>
        <w:jc w:val="center"/>
      </w:pPr>
      <w:r>
        <w:rPr>
          <w:rFonts w:ascii="Calibri" w:cs="Calibri" w:eastAsia="Calibri" w:hAnsi="Calibri"/>
          <w:color w:val="1E2761"/>
          <w:sz w:val="20"/>
          <w:szCs w:val="20"/>
        </w:rPr>
        <w:t xml:space="preserve">Phenomenal Longevity Alliance  ·  steven.atlaspower.ai</w:t>
      </w:r>
    </w:p>
    <w:p>
      <w:pPr>
        <w:pStyle w:val="Heading1"/>
        <w:pageBreakBefore/>
        <w:spacing w:after="200" w:before="240"/>
      </w:pPr>
      <w:r>
        <w:rPr>
          <w:rFonts w:ascii="Georgia" w:cs="Georgia" w:eastAsia="Georgia" w:hAnsi="Georgia"/>
          <w:b/>
          <w:bCs/>
          <w:color w:val="1E2761"/>
          <w:sz w:val="40"/>
          <w:szCs w:val="40"/>
        </w:rPr>
        <w:t xml:space="preserve">Contents</w:t>
      </w:r>
    </w:p>
    <w:p>
      <w:pPr>
        <w:tabs>
          <w:tab w:val="right" w:pos="9000"/>
        </w:tabs>
        <w:spacing w:after="100"/>
      </w:pPr>
      <w:r>
        <w:rPr>
          <w:rFonts w:ascii="Calibri" w:cs="Calibri" w:eastAsia="Calibri" w:hAnsi="Calibri"/>
          <w:sz w:val="22"/>
          <w:szCs w:val="22"/>
        </w:rPr>
        <w:t xml:space="preserve">I.  Overview</w:t>
      </w:r>
      <w:r>
        <w:rPr>
          <w:rFonts w:ascii="Calibri" w:cs="Calibri" w:eastAsia="Calibri" w:hAnsi="Calibri"/>
          <w:color w:val="5A6472"/>
          <w:sz w:val="22"/>
          <w:szCs w:val="22"/>
        </w:rPr>
        <w:t xml:space="preserve">	3</w:t>
      </w:r>
    </w:p>
    <w:p>
      <w:pPr>
        <w:tabs>
          <w:tab w:val="right" w:pos="9000"/>
        </w:tabs>
        <w:spacing w:after="100"/>
      </w:pPr>
      <w:r>
        <w:rPr>
          <w:rFonts w:ascii="Calibri" w:cs="Calibri" w:eastAsia="Calibri" w:hAnsi="Calibri"/>
          <w:sz w:val="22"/>
          <w:szCs w:val="22"/>
        </w:rPr>
        <w:t xml:space="preserve">II.  The Hook</w:t>
      </w:r>
      <w:r>
        <w:rPr>
          <w:rFonts w:ascii="Calibri" w:cs="Calibri" w:eastAsia="Calibri" w:hAnsi="Calibri"/>
          <w:color w:val="5A6472"/>
          <w:sz w:val="22"/>
          <w:szCs w:val="22"/>
        </w:rPr>
        <w:t xml:space="preserve">	4</w:t>
      </w:r>
    </w:p>
    <w:p>
      <w:pPr>
        <w:tabs>
          <w:tab w:val="right" w:pos="9000"/>
        </w:tabs>
        <w:spacing w:after="100"/>
      </w:pPr>
      <w:r>
        <w:rPr>
          <w:rFonts w:ascii="Calibri" w:cs="Calibri" w:eastAsia="Calibri" w:hAnsi="Calibri"/>
          <w:sz w:val="22"/>
          <w:szCs w:val="22"/>
        </w:rPr>
        <w:t xml:space="preserve">III.  About the Book</w:t>
      </w:r>
      <w:r>
        <w:rPr>
          <w:rFonts w:ascii="Calibri" w:cs="Calibri" w:eastAsia="Calibri" w:hAnsi="Calibri"/>
          <w:color w:val="5A6472"/>
          <w:sz w:val="22"/>
          <w:szCs w:val="22"/>
        </w:rPr>
        <w:t xml:space="preserve">	5</w:t>
      </w:r>
    </w:p>
    <w:p>
      <w:pPr>
        <w:tabs>
          <w:tab w:val="right" w:pos="9000"/>
        </w:tabs>
        <w:spacing w:after="100"/>
      </w:pPr>
      <w:r>
        <w:rPr>
          <w:rFonts w:ascii="Calibri" w:cs="Calibri" w:eastAsia="Calibri" w:hAnsi="Calibri"/>
          <w:sz w:val="22"/>
          <w:szCs w:val="22"/>
        </w:rPr>
        <w:t xml:space="preserve">IV.  Why Now</w:t>
      </w:r>
      <w:r>
        <w:rPr>
          <w:rFonts w:ascii="Calibri" w:cs="Calibri" w:eastAsia="Calibri" w:hAnsi="Calibri"/>
          <w:color w:val="5A6472"/>
          <w:sz w:val="22"/>
          <w:szCs w:val="22"/>
        </w:rPr>
        <w:t xml:space="preserve">	7</w:t>
      </w:r>
    </w:p>
    <w:p>
      <w:pPr>
        <w:tabs>
          <w:tab w:val="right" w:pos="9000"/>
        </w:tabs>
        <w:spacing w:after="100"/>
      </w:pPr>
      <w:r>
        <w:rPr>
          <w:rFonts w:ascii="Calibri" w:cs="Calibri" w:eastAsia="Calibri" w:hAnsi="Calibri"/>
          <w:sz w:val="22"/>
          <w:szCs w:val="22"/>
        </w:rPr>
        <w:t xml:space="preserve">V.  Target Audience</w:t>
      </w:r>
      <w:r>
        <w:rPr>
          <w:rFonts w:ascii="Calibri" w:cs="Calibri" w:eastAsia="Calibri" w:hAnsi="Calibri"/>
          <w:color w:val="5A6472"/>
          <w:sz w:val="22"/>
          <w:szCs w:val="22"/>
        </w:rPr>
        <w:t xml:space="preserve">	8</w:t>
      </w:r>
    </w:p>
    <w:p>
      <w:pPr>
        <w:tabs>
          <w:tab w:val="right" w:pos="9000"/>
        </w:tabs>
        <w:spacing w:after="100"/>
      </w:pPr>
      <w:r>
        <w:rPr>
          <w:rFonts w:ascii="Calibri" w:cs="Calibri" w:eastAsia="Calibri" w:hAnsi="Calibri"/>
          <w:sz w:val="22"/>
          <w:szCs w:val="22"/>
        </w:rPr>
        <w:t xml:space="preserve">VI.  Comparable Titles</w:t>
      </w:r>
      <w:r>
        <w:rPr>
          <w:rFonts w:ascii="Calibri" w:cs="Calibri" w:eastAsia="Calibri" w:hAnsi="Calibri"/>
          <w:color w:val="5A6472"/>
          <w:sz w:val="22"/>
          <w:szCs w:val="22"/>
        </w:rPr>
        <w:t xml:space="preserve">	9</w:t>
      </w:r>
    </w:p>
    <w:p>
      <w:pPr>
        <w:tabs>
          <w:tab w:val="right" w:pos="9000"/>
        </w:tabs>
        <w:spacing w:after="100"/>
      </w:pPr>
      <w:r>
        <w:rPr>
          <w:rFonts w:ascii="Calibri" w:cs="Calibri" w:eastAsia="Calibri" w:hAnsi="Calibri"/>
          <w:sz w:val="22"/>
          <w:szCs w:val="22"/>
        </w:rPr>
        <w:t xml:space="preserve">VII.  About the Author</w:t>
      </w:r>
      <w:r>
        <w:rPr>
          <w:rFonts w:ascii="Calibri" w:cs="Calibri" w:eastAsia="Calibri" w:hAnsi="Calibri"/>
          <w:color w:val="5A6472"/>
          <w:sz w:val="22"/>
          <w:szCs w:val="22"/>
        </w:rPr>
        <w:t xml:space="preserve">	11</w:t>
      </w:r>
    </w:p>
    <w:p>
      <w:pPr>
        <w:tabs>
          <w:tab w:val="right" w:pos="9000"/>
        </w:tabs>
        <w:spacing w:after="100"/>
      </w:pPr>
      <w:r>
        <w:rPr>
          <w:rFonts w:ascii="Calibri" w:cs="Calibri" w:eastAsia="Calibri" w:hAnsi="Calibri"/>
          <w:sz w:val="22"/>
          <w:szCs w:val="22"/>
        </w:rPr>
        <w:t xml:space="preserve">VIII.  Author Platform</w:t>
      </w:r>
      <w:r>
        <w:rPr>
          <w:rFonts w:ascii="Calibri" w:cs="Calibri" w:eastAsia="Calibri" w:hAnsi="Calibri"/>
          <w:color w:val="5A6472"/>
          <w:sz w:val="22"/>
          <w:szCs w:val="22"/>
        </w:rPr>
        <w:t xml:space="preserve">	12</w:t>
      </w:r>
    </w:p>
    <w:p>
      <w:pPr>
        <w:tabs>
          <w:tab w:val="right" w:pos="9000"/>
        </w:tabs>
        <w:spacing w:after="100"/>
      </w:pPr>
      <w:r>
        <w:rPr>
          <w:rFonts w:ascii="Calibri" w:cs="Calibri" w:eastAsia="Calibri" w:hAnsi="Calibri"/>
          <w:sz w:val="22"/>
          <w:szCs w:val="22"/>
        </w:rPr>
        <w:t xml:space="preserve">IX.  Marketing &amp; Publicity Plan</w:t>
      </w:r>
      <w:r>
        <w:rPr>
          <w:rFonts w:ascii="Calibri" w:cs="Calibri" w:eastAsia="Calibri" w:hAnsi="Calibri"/>
          <w:color w:val="5A6472"/>
          <w:sz w:val="22"/>
          <w:szCs w:val="22"/>
        </w:rPr>
        <w:t xml:space="preserve">	13</w:t>
      </w:r>
    </w:p>
    <w:p>
      <w:pPr>
        <w:tabs>
          <w:tab w:val="right" w:pos="9000"/>
        </w:tabs>
        <w:spacing w:after="100"/>
      </w:pPr>
      <w:r>
        <w:rPr>
          <w:rFonts w:ascii="Calibri" w:cs="Calibri" w:eastAsia="Calibri" w:hAnsi="Calibri"/>
          <w:sz w:val="22"/>
          <w:szCs w:val="22"/>
        </w:rPr>
        <w:t xml:space="preserve">X.  Endorsements &amp; Alliance Support</w:t>
      </w:r>
      <w:r>
        <w:rPr>
          <w:rFonts w:ascii="Calibri" w:cs="Calibri" w:eastAsia="Calibri" w:hAnsi="Calibri"/>
          <w:color w:val="5A6472"/>
          <w:sz w:val="22"/>
          <w:szCs w:val="22"/>
        </w:rPr>
        <w:t xml:space="preserve">	15</w:t>
      </w:r>
    </w:p>
    <w:p>
      <w:pPr>
        <w:tabs>
          <w:tab w:val="right" w:pos="9000"/>
        </w:tabs>
        <w:spacing w:after="100"/>
      </w:pPr>
      <w:r>
        <w:rPr>
          <w:rFonts w:ascii="Calibri" w:cs="Calibri" w:eastAsia="Calibri" w:hAnsi="Calibri"/>
          <w:sz w:val="22"/>
          <w:szCs w:val="22"/>
        </w:rPr>
        <w:t xml:space="preserve">XI.  Manuscript Status &amp; Specs</w:t>
      </w:r>
      <w:r>
        <w:rPr>
          <w:rFonts w:ascii="Calibri" w:cs="Calibri" w:eastAsia="Calibri" w:hAnsi="Calibri"/>
          <w:color w:val="5A6472"/>
          <w:sz w:val="22"/>
          <w:szCs w:val="22"/>
        </w:rPr>
        <w:t xml:space="preserve">	16</w:t>
      </w:r>
    </w:p>
    <w:p>
      <w:pPr>
        <w:tabs>
          <w:tab w:val="right" w:pos="9000"/>
        </w:tabs>
        <w:spacing w:after="100"/>
      </w:pPr>
      <w:r>
        <w:rPr>
          <w:rFonts w:ascii="Calibri" w:cs="Calibri" w:eastAsia="Calibri" w:hAnsi="Calibri"/>
          <w:sz w:val="22"/>
          <w:szCs w:val="22"/>
        </w:rPr>
        <w:t xml:space="preserve">XII.  Annotated Chapter Outline</w:t>
      </w:r>
      <w:r>
        <w:rPr>
          <w:rFonts w:ascii="Calibri" w:cs="Calibri" w:eastAsia="Calibri" w:hAnsi="Calibri"/>
          <w:color w:val="5A6472"/>
          <w:sz w:val="22"/>
          <w:szCs w:val="22"/>
        </w:rPr>
        <w:t xml:space="preserve">	17</w:t>
      </w:r>
    </w:p>
    <w:p>
      <w:pPr>
        <w:tabs>
          <w:tab w:val="right" w:pos="9000"/>
        </w:tabs>
        <w:spacing w:after="100"/>
      </w:pPr>
      <w:r>
        <w:rPr>
          <w:rFonts w:ascii="Calibri" w:cs="Calibri" w:eastAsia="Calibri" w:hAnsi="Calibri"/>
          <w:sz w:val="22"/>
          <w:szCs w:val="22"/>
        </w:rPr>
        <w:t xml:space="preserve">XIII.  Sample Chapter — The Door</w:t>
      </w:r>
      <w:r>
        <w:rPr>
          <w:rFonts w:ascii="Calibri" w:cs="Calibri" w:eastAsia="Calibri" w:hAnsi="Calibri"/>
          <w:color w:val="5A6472"/>
          <w:sz w:val="22"/>
          <w:szCs w:val="22"/>
        </w:rPr>
        <w:t xml:space="preserve">	20</w:t>
      </w:r>
    </w:p>
    <w:p>
      <w:pPr>
        <w:pStyle w:val="Heading1"/>
        <w:pageBreakBefore/>
        <w:spacing w:after="200" w:before="240"/>
      </w:pPr>
      <w:r>
        <w:rPr>
          <w:rFonts w:ascii="Georgia" w:cs="Georgia" w:eastAsia="Georgia" w:hAnsi="Georgia"/>
          <w:b/>
          <w:bCs/>
          <w:color w:val="1E2761"/>
          <w:sz w:val="40"/>
          <w:szCs w:val="40"/>
        </w:rPr>
        <w:t xml:space="preserve">I. Overview</w:t>
      </w:r>
    </w:p>
    <w:p>
      <w:pPr>
        <w:spacing w:after="60" w:before="40"/>
      </w:pPr>
      <w:r>
        <w:rPr>
          <w:rFonts w:ascii="Calibri" w:cs="Calibri" w:eastAsia="Calibri" w:hAnsi="Calibri"/>
          <w:b/>
          <w:bCs/>
          <w:color w:val="1E2761"/>
          <w:spacing w:val="40"/>
          <w:sz w:val="18"/>
          <w:szCs w:val="18"/>
        </w:rPr>
        <w:t xml:space="preserve">THE PITCH IN ONE PARAGRAPH</w:t>
      </w:r>
    </w:p>
    <w:p>
      <w:pPr>
        <w:spacing w:after="160" w:line="300"/>
        <w:jc w:val="left"/>
      </w:pPr>
      <w:r>
        <w:rPr>
          <w:rFonts w:ascii="Calibri" w:cs="Calibri" w:eastAsia="Calibri" w:hAnsi="Calibri"/>
          <w:sz w:val="22"/>
          <w:szCs w:val="22"/>
        </w:rPr>
        <w:t xml:space="preserve">Americans are spending more on healthcare than any nation in history and getting sicker for it. Children are now the first generation projected to live shorter lives than their parents. SIC names what almost no one in mainstream publishing will say plainly: this is not an accident of biology or culture. It is the predictable output of a system — agencies, industries, dietary guidance, chemical exposures, and incentive structures — that profits from managed illness and quietly punishes anyone who tries to step around it. SIC traces how that system was built, why it survives every reform, and what it takes for an ordinary person to walk out of it through a door that did not exist five years ago.</w:t>
      </w:r>
    </w:p>
    <w:p>
      <w:pPr>
        <w:spacing w:after="160" w:line="300"/>
        <w:jc w:val="left"/>
      </w:pPr>
      <w:r>
        <w:rPr>
          <w:rFonts w:ascii="Calibri" w:cs="Calibri" w:eastAsia="Calibri" w:hAnsi="Calibri"/>
          <w:sz w:val="22"/>
          <w:szCs w:val="22"/>
        </w:rPr>
        <w:t xml:space="preserve">SIC is structured as a three-act investigation: The Door (why this moment is different), The Machine (how the sick-care system was assembled), and The Remedy (the counter-protocol, the regenerative ceiling above food, and the operating layer that delivers it to people who are not biohackers, not wealthy, and not waiting). It is the longevity book for readers who have read the others and noticed they all stop short of the only question that matters: how does any of this actually reach me?</w:t>
      </w:r>
    </w:p>
    <w:p>
      <w:pPr>
        <w:pStyle w:val="Heading3"/>
        <w:spacing w:after="100" w:before="200"/>
      </w:pPr>
      <w:r>
        <w:rPr>
          <w:rFonts w:ascii="Georgia" w:cs="Georgia" w:eastAsia="Georgia" w:hAnsi="Georgia"/>
          <w:b/>
          <w:bCs/>
          <w:color w:val="222222"/>
          <w:sz w:val="24"/>
          <w:szCs w:val="24"/>
        </w:rPr>
        <w:t xml:space="preserve">At a glance</w:t>
      </w:r>
    </w:p>
    <w:p>
      <w:pPr>
        <w:pStyle w:val="ListParagraph"/>
        <w:numPr>
          <w:ilvl w:val="0"/>
          <w:numId w:val="2"/>
        </w:numPr>
        <w:spacing w:after="100" w:line="290"/>
      </w:pPr>
      <w:r>
        <w:rPr>
          <w:rFonts w:ascii="Calibri" w:cs="Calibri" w:eastAsia="Calibri" w:hAnsi="Calibri"/>
          <w:sz w:val="22"/>
          <w:szCs w:val="22"/>
        </w:rPr>
        <w:t xml:space="preserve">Title: SIC — How the Sick-Care System Was Built, and the Door Out of It</w:t>
      </w:r>
    </w:p>
    <w:p>
      <w:pPr>
        <w:pStyle w:val="ListParagraph"/>
        <w:numPr>
          <w:ilvl w:val="0"/>
          <w:numId w:val="2"/>
        </w:numPr>
        <w:spacing w:after="100" w:line="290"/>
      </w:pPr>
      <w:r>
        <w:rPr>
          <w:rFonts w:ascii="Calibri" w:cs="Calibri" w:eastAsia="Calibri" w:hAnsi="Calibri"/>
          <w:sz w:val="22"/>
          <w:szCs w:val="22"/>
        </w:rPr>
        <w:t xml:space="preserve">Author: Steven A. Hunt, MBA — founder &amp; CEO, LIRS; member, CCRPac Longevity Council</w:t>
      </w:r>
    </w:p>
    <w:p>
      <w:pPr>
        <w:pStyle w:val="ListParagraph"/>
        <w:numPr>
          <w:ilvl w:val="0"/>
          <w:numId w:val="2"/>
        </w:numPr>
        <w:spacing w:after="100" w:line="290"/>
      </w:pPr>
      <w:r>
        <w:rPr>
          <w:rFonts w:ascii="Calibri" w:cs="Calibri" w:eastAsia="Calibri" w:hAnsi="Calibri"/>
          <w:sz w:val="22"/>
          <w:szCs w:val="22"/>
        </w:rPr>
        <w:t xml:space="preserve">Length: ~80,000 words across 10 chapters in three parts</w:t>
      </w:r>
    </w:p>
    <w:p>
      <w:pPr>
        <w:pStyle w:val="ListParagraph"/>
        <w:numPr>
          <w:ilvl w:val="0"/>
          <w:numId w:val="2"/>
        </w:numPr>
        <w:spacing w:after="100" w:line="290"/>
      </w:pPr>
      <w:r>
        <w:rPr>
          <w:rFonts w:ascii="Calibri" w:cs="Calibri" w:eastAsia="Calibri" w:hAnsi="Calibri"/>
          <w:sz w:val="22"/>
          <w:szCs w:val="22"/>
        </w:rPr>
        <w:t xml:space="preserve">Manuscript status: Final edit. Foreword and contributor sections approved.</w:t>
      </w:r>
    </w:p>
    <w:p>
      <w:pPr>
        <w:pStyle w:val="ListParagraph"/>
        <w:numPr>
          <w:ilvl w:val="0"/>
          <w:numId w:val="2"/>
        </w:numPr>
        <w:spacing w:after="100" w:line="290"/>
      </w:pPr>
      <w:r>
        <w:rPr>
          <w:rFonts w:ascii="Calibri" w:cs="Calibri" w:eastAsia="Calibri" w:hAnsi="Calibri"/>
          <w:sz w:val="22"/>
          <w:szCs w:val="22"/>
        </w:rPr>
        <w:t xml:space="preserve">Audience: Health-conscious readers 30–65 who are skeptical of both the medical establishment and the wellness industry</w:t>
      </w:r>
    </w:p>
    <w:p>
      <w:pPr>
        <w:pStyle w:val="ListParagraph"/>
        <w:numPr>
          <w:ilvl w:val="0"/>
          <w:numId w:val="2"/>
        </w:numPr>
        <w:spacing w:after="100" w:line="290"/>
      </w:pPr>
      <w:r>
        <w:rPr>
          <w:rFonts w:ascii="Calibri" w:cs="Calibri" w:eastAsia="Calibri" w:hAnsi="Calibri"/>
          <w:sz w:val="22"/>
          <w:szCs w:val="22"/>
        </w:rPr>
        <w:t xml:space="preserve">Position: The bridge book between investigative health journalism (Pollan, Teicholz, Moss) and the longevity shelf (Attia, Sinclair, Hyman)</w:t>
      </w:r>
    </w:p>
    <w:p>
      <w:pPr>
        <w:pStyle w:val="ListParagraph"/>
        <w:numPr>
          <w:ilvl w:val="0"/>
          <w:numId w:val="2"/>
        </w:numPr>
        <w:spacing w:after="100" w:line="290"/>
      </w:pPr>
      <w:r>
        <w:rPr>
          <w:rFonts w:ascii="Calibri" w:cs="Calibri" w:eastAsia="Calibri" w:hAnsi="Calibri"/>
          <w:sz w:val="22"/>
          <w:szCs w:val="22"/>
        </w:rPr>
        <w:t xml:space="preserve">Built-in platform: Phenomenal Longevity Alliance — a multi-disciplinary council of clinicians, scientists, and infrastructure partners with an audited delivery layer (ATLAS Power Networks)</w:t>
      </w:r>
    </w:p>
    <w:p>
      <w:pPr>
        <w:pStyle w:val="Heading1"/>
        <w:pageBreakBefore/>
        <w:spacing w:after="200" w:before="240"/>
      </w:pPr>
      <w:r>
        <w:rPr>
          <w:rFonts w:ascii="Georgia" w:cs="Georgia" w:eastAsia="Georgia" w:hAnsi="Georgia"/>
          <w:b/>
          <w:bCs/>
          <w:color w:val="1E2761"/>
          <w:sz w:val="40"/>
          <w:szCs w:val="40"/>
        </w:rPr>
        <w:t xml:space="preserve">II. The Hook</w:t>
      </w:r>
    </w:p>
    <w:p>
      <w:pPr>
        <w:spacing w:after="160" w:line="300"/>
        <w:jc w:val="left"/>
      </w:pPr>
      <w:r>
        <w:rPr>
          <w:rFonts w:ascii="Calibri" w:cs="Calibri" w:eastAsia="Calibri" w:hAnsi="Calibri"/>
          <w:i/>
          <w:iCs/>
          <w:sz w:val="22"/>
          <w:szCs w:val="22"/>
        </w:rPr>
        <w:t xml:space="preserve">Every longevity book ends in roughly the same place. The author lays out the science of cellular aging, lists the eight or twelve or fifteen hallmarks, prescribes a stack of supplements and habits, and closes with a chapter that sounds like hope but functions like a wall: "Of course, much of this is still years away from being available to most people."</w:t>
      </w:r>
    </w:p>
    <w:p>
      <w:pPr>
        <w:spacing w:after="160" w:line="300"/>
        <w:jc w:val="left"/>
      </w:pPr>
      <w:r>
        <w:rPr>
          <w:rFonts w:ascii="Calibri" w:cs="Calibri" w:eastAsia="Calibri" w:hAnsi="Calibri"/>
          <w:sz w:val="22"/>
          <w:szCs w:val="22"/>
        </w:rPr>
        <w:t xml:space="preserve">That wall is where SIC begins.</w:t>
      </w:r>
    </w:p>
    <w:p>
      <w:pPr>
        <w:spacing w:after="160" w:line="300"/>
        <w:jc w:val="left"/>
      </w:pPr>
      <w:r>
        <w:rPr>
          <w:rFonts w:ascii="Calibri" w:cs="Calibri" w:eastAsia="Calibri" w:hAnsi="Calibri"/>
          <w:sz w:val="22"/>
          <w:szCs w:val="22"/>
        </w:rPr>
        <w:t xml:space="preserve">SIC is the first longevity book written from inside the operating layer — the boring, unglamorous infrastructure of consent forms, verified identity, audit trails, practitioner networks, and member onboarding that decides whether a breakthrough ever reaches a real person at a real kitchen table. The author has spent two decades building that layer for the chiropractic and integrative-medicine industry. He has watched, repeatedly, as a genuine clinical advance arrived, made the conference circuit, became a podcast episode, and then disappeared — not because it failed, but because no one solved the last mile.</w:t>
      </w:r>
    </w:p>
    <w:p>
      <w:pPr>
        <w:spacing w:after="160" w:line="300"/>
        <w:jc w:val="left"/>
      </w:pPr>
      <w:r>
        <w:rPr>
          <w:rFonts w:ascii="Calibri" w:cs="Calibri" w:eastAsia="Calibri" w:hAnsi="Calibri"/>
          <w:sz w:val="22"/>
          <w:szCs w:val="22"/>
        </w:rPr>
        <w:t xml:space="preserve">SIC argues that the last mile is the story. The villains in this book are not Big Pharma cartoons or food-industry mustache-twirlers; they are a set of incentives, loopholes, and information asymmetries that quietly route every "miracle" into a maze most people cannot navigate. The hero is not a molecule. It is an alliance — clinicians, regenerative researchers, technologists, hospitality builders, and energy-infrastructure operators — that has agreed to build the missing mile in public, with receipts.</w:t>
      </w:r>
    </w:p>
    <w:p>
      <w:pPr>
        <w:spacing w:after="60" w:before="40"/>
      </w:pPr>
      <w:r>
        <w:rPr>
          <w:rFonts w:ascii="Calibri" w:cs="Calibri" w:eastAsia="Calibri" w:hAnsi="Calibri"/>
          <w:b/>
          <w:bCs/>
          <w:color w:val="1E2761"/>
          <w:spacing w:val="40"/>
          <w:sz w:val="18"/>
          <w:szCs w:val="18"/>
        </w:rPr>
        <w:t xml:space="preserve">THE PROMISE TO THE READER</w:t>
      </w:r>
    </w:p>
    <w:p>
      <w:pPr>
        <w:spacing w:after="160" w:line="300"/>
        <w:jc w:val="left"/>
      </w:pPr>
      <w:r>
        <w:rPr>
          <w:rFonts w:ascii="Calibri" w:cs="Calibri" w:eastAsia="Calibri" w:hAnsi="Calibri"/>
          <w:sz w:val="22"/>
          <w:szCs w:val="22"/>
        </w:rPr>
        <w:t xml:space="preserve">By the last chapter, the reader will understand exactly how the sick-care system makes its money, exactly which interventions move the needle on healthspan in weeks rather than decades, and exactly what an audited, consent-based path through the new longevity landscape looks like. No supplements to buy in the back. No course to enroll in. A door, a map, and the names of the people standing on the other side.</w:t>
      </w:r>
    </w:p>
    <w:p>
      <w:pPr>
        <w:pStyle w:val="Heading1"/>
        <w:pageBreakBefore/>
        <w:spacing w:after="200" w:before="240"/>
      </w:pPr>
      <w:r>
        <w:rPr>
          <w:rFonts w:ascii="Georgia" w:cs="Georgia" w:eastAsia="Georgia" w:hAnsi="Georgia"/>
          <w:b/>
          <w:bCs/>
          <w:color w:val="1E2761"/>
          <w:sz w:val="40"/>
          <w:szCs w:val="40"/>
        </w:rPr>
        <w:t xml:space="preserve">III. About the Book</w:t>
      </w:r>
    </w:p>
    <w:p>
      <w:pPr>
        <w:pStyle w:val="Heading2"/>
        <w:spacing w:after="140" w:before="280"/>
      </w:pPr>
      <w:r>
        <w:rPr>
          <w:rFonts w:ascii="Georgia" w:cs="Georgia" w:eastAsia="Georgia" w:hAnsi="Georgia"/>
          <w:b/>
          <w:bCs/>
          <w:color w:val="1E2761"/>
          <w:sz w:val="28"/>
          <w:szCs w:val="28"/>
        </w:rPr>
        <w:t xml:space="preserve">Structure</w:t>
      </w:r>
    </w:p>
    <w:p>
      <w:pPr>
        <w:spacing w:after="160" w:line="300"/>
        <w:jc w:val="left"/>
      </w:pPr>
      <w:r>
        <w:rPr>
          <w:rFonts w:ascii="Calibri" w:cs="Calibri" w:eastAsia="Calibri" w:hAnsi="Calibri"/>
          <w:sz w:val="22"/>
          <w:szCs w:val="22"/>
        </w:rPr>
        <w:t xml:space="preserve">SIC is divided into three parts, designed to be read in order but to stand alone as long-form essays.</w:t>
      </w:r>
    </w:p>
    <w:p>
      <w:pPr>
        <w:pStyle w:val="Heading3"/>
        <w:spacing w:after="100" w:before="200"/>
      </w:pPr>
      <w:r>
        <w:rPr>
          <w:rFonts w:ascii="Georgia" w:cs="Georgia" w:eastAsia="Georgia" w:hAnsi="Georgia"/>
          <w:b/>
          <w:bCs/>
          <w:color w:val="222222"/>
          <w:sz w:val="24"/>
          <w:szCs w:val="24"/>
        </w:rPr>
        <w:t xml:space="preserve">Part One — The Door (Chapter 1)</w:t>
      </w:r>
    </w:p>
    <w:p>
      <w:pPr>
        <w:spacing w:after="160" w:line="300"/>
        <w:jc w:val="left"/>
      </w:pPr>
      <w:r>
        <w:rPr>
          <w:rFonts w:ascii="Calibri" w:cs="Calibri" w:eastAsia="Calibri" w:hAnsi="Calibri"/>
          <w:sz w:val="22"/>
          <w:szCs w:val="22"/>
        </w:rPr>
        <w:t xml:space="preserve">A single, scene-driven opening chapter that places the reader in the present moment and argues — through specific events of the last 36 months — that the longevity conversation has crossed a threshold the previous fifty years of health writing never reached. Three forces converged: regenerative biology became clinically real, computational infrastructure became cheap enough to track individual outcomes at scale, and public trust in the conventional system collapsed far enough that ordinary people are now willing to try something else. This is the chapter that earns the right to the rest of the book.</w:t>
      </w:r>
    </w:p>
    <w:p>
      <w:pPr>
        <w:pStyle w:val="Heading3"/>
        <w:spacing w:after="100" w:before="200"/>
      </w:pPr>
      <w:r>
        <w:rPr>
          <w:rFonts w:ascii="Georgia" w:cs="Georgia" w:eastAsia="Georgia" w:hAnsi="Georgia"/>
          <w:b/>
          <w:bCs/>
          <w:color w:val="222222"/>
          <w:sz w:val="24"/>
          <w:szCs w:val="24"/>
        </w:rPr>
        <w:t xml:space="preserve">Part Two — The Machine (Chapters 2–7)</w:t>
      </w:r>
    </w:p>
    <w:p>
      <w:pPr>
        <w:spacing w:after="160" w:line="300"/>
        <w:jc w:val="left"/>
      </w:pPr>
      <w:r>
        <w:rPr>
          <w:rFonts w:ascii="Calibri" w:cs="Calibri" w:eastAsia="Calibri" w:hAnsi="Calibri"/>
          <w:sz w:val="22"/>
          <w:szCs w:val="22"/>
        </w:rPr>
        <w:t xml:space="preserve">Six investigative chapters that take apart the sick-care system the way a mechanic takes apart an engine: dietary guidance, ultra-processed food, environmental chemistry, the GRAS self-affirmation loophole, the economics of chronic disease management, and the children's health epidemic that ties them together. Each chapter is built around primary documents (FDA dockets, GRAS filings, USDA records, NHANES data) and on-the-record interviews with practitioners and researchers inside the Alliance. The Machine section will be the book's most quoted, most argued-with, and most shared.</w:t>
      </w:r>
    </w:p>
    <w:p>
      <w:pPr>
        <w:pStyle w:val="Heading3"/>
        <w:spacing w:after="100" w:before="200"/>
      </w:pPr>
      <w:r>
        <w:rPr>
          <w:rFonts w:ascii="Georgia" w:cs="Georgia" w:eastAsia="Georgia" w:hAnsi="Georgia"/>
          <w:b/>
          <w:bCs/>
          <w:color w:val="222222"/>
          <w:sz w:val="24"/>
          <w:szCs w:val="24"/>
        </w:rPr>
        <w:t xml:space="preserve">Part Three — The Remedy (Chapters 8–10)</w:t>
      </w:r>
    </w:p>
    <w:p>
      <w:pPr>
        <w:spacing w:after="160" w:line="300"/>
        <w:jc w:val="left"/>
      </w:pPr>
      <w:r>
        <w:rPr>
          <w:rFonts w:ascii="Calibri" w:cs="Calibri" w:eastAsia="Calibri" w:hAnsi="Calibri"/>
          <w:sz w:val="22"/>
          <w:szCs w:val="22"/>
        </w:rPr>
        <w:t xml:space="preserve">Three constructive chapters. Chapter 8 lays out the counter-protocol — what actually changes, in weeks, when the body is given a fair chance to repair. Chapter 9 introduces the ceiling above food: regenerative and bioelectric medicine that is no longer hypothetical. Chapter 10 — the chapter every other longevity book skips — answers the operational question: how does any of this actually reach the reader of this book? The answer is not a product. It is an alliance with an audited delivery layer.</w:t>
      </w:r>
    </w:p>
    <w:p>
      <w:pPr>
        <w:pStyle w:val="Heading2"/>
        <w:spacing w:after="140" w:before="280"/>
      </w:pPr>
      <w:r>
        <w:rPr>
          <w:rFonts w:ascii="Georgia" w:cs="Georgia" w:eastAsia="Georgia" w:hAnsi="Georgia"/>
          <w:b/>
          <w:bCs/>
          <w:color w:val="1E2761"/>
          <w:sz w:val="28"/>
          <w:szCs w:val="28"/>
        </w:rPr>
        <w:t xml:space="preserve">Tone &amp; Approach</w:t>
      </w:r>
    </w:p>
    <w:p>
      <w:pPr>
        <w:spacing w:after="160" w:line="300"/>
        <w:jc w:val="left"/>
      </w:pPr>
      <w:r>
        <w:rPr>
          <w:rFonts w:ascii="Calibri" w:cs="Calibri" w:eastAsia="Calibri" w:hAnsi="Calibri"/>
          <w:sz w:val="22"/>
          <w:szCs w:val="22"/>
        </w:rPr>
        <w:t xml:space="preserve">SIC is reported, not preached. Every claim of harm is sourced. Every claim of benefit is hedged to what the evidence actually supports, and every reference to the Alliance's own work is framed as a doorway and an enrollment, never a treatment promise. The prose is built for general readers — short paragraphs, scene-first openings, no jargon walls — but the underlying argument is built to survive expert scrutiny. Readers who finish SIC should feel, simultaneously, that they have been respected as adults and given something to do on Monday morning.</w:t>
      </w:r>
    </w:p>
    <w:p>
      <w:pPr>
        <w:pStyle w:val="Heading1"/>
        <w:pageBreakBefore/>
        <w:spacing w:after="200" w:before="240"/>
      </w:pPr>
      <w:r>
        <w:rPr>
          <w:rFonts w:ascii="Georgia" w:cs="Georgia" w:eastAsia="Georgia" w:hAnsi="Georgia"/>
          <w:b/>
          <w:bCs/>
          <w:color w:val="1E2761"/>
          <w:sz w:val="40"/>
          <w:szCs w:val="40"/>
        </w:rPr>
        <w:t xml:space="preserve">IV. Why Now</w:t>
      </w:r>
    </w:p>
    <w:p>
      <w:pPr>
        <w:spacing w:after="160" w:line="300"/>
        <w:jc w:val="left"/>
      </w:pPr>
      <w:r>
        <w:rPr>
          <w:rFonts w:ascii="Calibri" w:cs="Calibri" w:eastAsia="Calibri" w:hAnsi="Calibri"/>
          <w:sz w:val="22"/>
          <w:szCs w:val="22"/>
        </w:rPr>
        <w:t xml:space="preserve">Three things happened between 2022 and 2026 that make SIC publishable in a way it would not have been five years ago.</w:t>
      </w:r>
    </w:p>
    <w:p>
      <w:pPr>
        <w:pStyle w:val="Heading3"/>
        <w:spacing w:after="100" w:before="200"/>
      </w:pPr>
      <w:r>
        <w:rPr>
          <w:rFonts w:ascii="Georgia" w:cs="Georgia" w:eastAsia="Georgia" w:hAnsi="Georgia"/>
          <w:b/>
          <w:bCs/>
          <w:color w:val="222222"/>
          <w:sz w:val="24"/>
          <w:szCs w:val="24"/>
        </w:rPr>
        <w:t xml:space="preserve">1. The public lost its patience.</w:t>
      </w:r>
    </w:p>
    <w:p>
      <w:pPr>
        <w:spacing w:after="160" w:line="300"/>
        <w:jc w:val="left"/>
      </w:pPr>
      <w:r>
        <w:rPr>
          <w:rFonts w:ascii="Calibri" w:cs="Calibri" w:eastAsia="Calibri" w:hAnsi="Calibri"/>
          <w:sz w:val="22"/>
          <w:szCs w:val="22"/>
        </w:rPr>
        <w:t xml:space="preserve">Trust in the FDA, the CDC, and the broader public-health apparatus is at the lowest level ever measured. Readers who would once have dismissed a book like SIC as fringe are now actively looking for it. The audience for honest, sourced criticism of the sick-care system is no longer a niche; it is the center of the health-publishing market.</w:t>
      </w:r>
    </w:p>
    <w:p>
      <w:pPr>
        <w:pStyle w:val="Heading3"/>
        <w:spacing w:after="100" w:before="200"/>
      </w:pPr>
      <w:r>
        <w:rPr>
          <w:rFonts w:ascii="Georgia" w:cs="Georgia" w:eastAsia="Georgia" w:hAnsi="Georgia"/>
          <w:b/>
          <w:bCs/>
          <w:color w:val="222222"/>
          <w:sz w:val="24"/>
          <w:szCs w:val="24"/>
        </w:rPr>
        <w:t xml:space="preserve">2. The science crossed a line.</w:t>
      </w:r>
    </w:p>
    <w:p>
      <w:pPr>
        <w:spacing w:after="160" w:line="300"/>
        <w:jc w:val="left"/>
      </w:pPr>
      <w:r>
        <w:rPr>
          <w:rFonts w:ascii="Calibri" w:cs="Calibri" w:eastAsia="Calibri" w:hAnsi="Calibri"/>
          <w:sz w:val="22"/>
          <w:szCs w:val="22"/>
        </w:rPr>
        <w:t xml:space="preserve">Stem-cell therapies, bioelectric stimulation, peptide therapeutics, continuous metabolic monitoring, and AI-assisted diagnostics moved from "promising" to "delivered" inside the last 36 months. The longevity shelf has not caught up. SIC arrives exactly as the general reader is ready to hear that the ceiling has moved.</w:t>
      </w:r>
    </w:p>
    <w:p>
      <w:pPr>
        <w:pStyle w:val="Heading3"/>
        <w:spacing w:after="100" w:before="200"/>
      </w:pPr>
      <w:r>
        <w:rPr>
          <w:rFonts w:ascii="Georgia" w:cs="Georgia" w:eastAsia="Georgia" w:hAnsi="Georgia"/>
          <w:b/>
          <w:bCs/>
          <w:color w:val="222222"/>
          <w:sz w:val="24"/>
          <w:szCs w:val="24"/>
        </w:rPr>
        <w:t xml:space="preserve">3. Delivery became possible.</w:t>
      </w:r>
    </w:p>
    <w:p>
      <w:pPr>
        <w:spacing w:after="160" w:line="300"/>
        <w:jc w:val="left"/>
      </w:pPr>
      <w:r>
        <w:rPr>
          <w:rFonts w:ascii="Calibri" w:cs="Calibri" w:eastAsia="Calibri" w:hAnsi="Calibri"/>
          <w:sz w:val="22"/>
          <w:szCs w:val="22"/>
        </w:rPr>
        <w:t xml:space="preserve">The missing piece in every longevity book — the operational layer that gets a real intervention to a real person under real consent — finally exists in a form a journalist can describe. The Alliance and its infrastructure partner, ATLAS Power Networks, are the on-the-record proof that this part of the story is no longer hand-waving.</w:t>
      </w:r>
    </w:p>
    <w:p>
      <w:pPr>
        <w:pStyle w:val="Heading1"/>
        <w:pageBreakBefore/>
        <w:spacing w:after="200" w:before="240"/>
      </w:pPr>
      <w:r>
        <w:rPr>
          <w:rFonts w:ascii="Georgia" w:cs="Georgia" w:eastAsia="Georgia" w:hAnsi="Georgia"/>
          <w:b/>
          <w:bCs/>
          <w:color w:val="1E2761"/>
          <w:sz w:val="40"/>
          <w:szCs w:val="40"/>
        </w:rPr>
        <w:t xml:space="preserve">V. Target Audience</w:t>
      </w:r>
    </w:p>
    <w:p>
      <w:pPr>
        <w:spacing w:after="160" w:line="300"/>
        <w:jc w:val="left"/>
      </w:pPr>
      <w:r>
        <w:rPr>
          <w:rFonts w:ascii="Calibri" w:cs="Calibri" w:eastAsia="Calibri" w:hAnsi="Calibri"/>
          <w:sz w:val="22"/>
          <w:szCs w:val="22"/>
        </w:rPr>
        <w:t xml:space="preserve">SIC is written for the reader who has already done some of the work — who has tried elimination diets, read at least one longevity book, listened to the podcasts, and arrived at the same private conclusion the author did: the pieces are out there, but nothing is connected, and no one is accountable for the whole.</w:t>
      </w:r>
    </w:p>
    <w:p>
      <w:pPr>
        <w:pStyle w:val="Heading3"/>
        <w:spacing w:after="100" w:before="200"/>
      </w:pPr>
      <w:r>
        <w:rPr>
          <w:rFonts w:ascii="Georgia" w:cs="Georgia" w:eastAsia="Georgia" w:hAnsi="Georgia"/>
          <w:b/>
          <w:bCs/>
          <w:color w:val="222222"/>
          <w:sz w:val="24"/>
          <w:szCs w:val="24"/>
        </w:rPr>
        <w:t xml:space="preserve">Primary audience</w:t>
      </w:r>
    </w:p>
    <w:p>
      <w:pPr>
        <w:pStyle w:val="ListParagraph"/>
        <w:numPr>
          <w:ilvl w:val="0"/>
          <w:numId w:val="2"/>
        </w:numPr>
        <w:spacing w:after="100" w:line="290"/>
      </w:pPr>
      <w:r>
        <w:rPr>
          <w:rFonts w:ascii="Calibri" w:cs="Calibri" w:eastAsia="Calibri" w:hAnsi="Calibri"/>
          <w:sz w:val="22"/>
          <w:szCs w:val="22"/>
        </w:rPr>
        <w:t xml:space="preserve">Health-engaged adults 35–65 with household income $75k+ who already buy books in the wellness, longevity, and integrative-health categories</w:t>
      </w:r>
    </w:p>
    <w:p>
      <w:pPr>
        <w:pStyle w:val="ListParagraph"/>
        <w:numPr>
          <w:ilvl w:val="0"/>
          <w:numId w:val="2"/>
        </w:numPr>
        <w:spacing w:after="100" w:line="290"/>
      </w:pPr>
      <w:r>
        <w:rPr>
          <w:rFonts w:ascii="Calibri" w:cs="Calibri" w:eastAsia="Calibri" w:hAnsi="Calibri"/>
          <w:sz w:val="22"/>
          <w:szCs w:val="22"/>
        </w:rPr>
        <w:t xml:space="preserve">Parents of school-age children alarmed by the visible decline in childhood metabolic health</w:t>
      </w:r>
    </w:p>
    <w:p>
      <w:pPr>
        <w:pStyle w:val="ListParagraph"/>
        <w:numPr>
          <w:ilvl w:val="0"/>
          <w:numId w:val="2"/>
        </w:numPr>
        <w:spacing w:after="100" w:line="290"/>
      </w:pPr>
      <w:r>
        <w:rPr>
          <w:rFonts w:ascii="Calibri" w:cs="Calibri" w:eastAsia="Calibri" w:hAnsi="Calibri"/>
          <w:sz w:val="22"/>
          <w:szCs w:val="22"/>
        </w:rPr>
        <w:t xml:space="preserve">Readers of Michael Pollan, Robert Lustig, Marion Nestle, Nina Teicholz, Michael Moss, and Mark Hyman who have asked, "What now?" and have not found a satisfactory answer</w:t>
      </w:r>
    </w:p>
    <w:p>
      <w:pPr>
        <w:pStyle w:val="ListParagraph"/>
        <w:numPr>
          <w:ilvl w:val="0"/>
          <w:numId w:val="2"/>
        </w:numPr>
        <w:spacing w:after="100" w:line="290"/>
      </w:pPr>
      <w:r>
        <w:rPr>
          <w:rFonts w:ascii="Calibri" w:cs="Calibri" w:eastAsia="Calibri" w:hAnsi="Calibri"/>
          <w:sz w:val="22"/>
          <w:szCs w:val="22"/>
        </w:rPr>
        <w:t xml:space="preserve">Clinicians — chiropractors, functional-medicine MDs, NDs, RDs — looking for a book they can put in patients' hands without disclaimers</w:t>
      </w:r>
    </w:p>
    <w:p>
      <w:pPr>
        <w:pStyle w:val="Heading3"/>
        <w:spacing w:after="100" w:before="200"/>
      </w:pPr>
      <w:r>
        <w:rPr>
          <w:rFonts w:ascii="Georgia" w:cs="Georgia" w:eastAsia="Georgia" w:hAnsi="Georgia"/>
          <w:b/>
          <w:bCs/>
          <w:color w:val="222222"/>
          <w:sz w:val="24"/>
          <w:szCs w:val="24"/>
        </w:rPr>
        <w:t xml:space="preserve">Secondary audience</w:t>
      </w:r>
    </w:p>
    <w:p>
      <w:pPr>
        <w:pStyle w:val="ListParagraph"/>
        <w:numPr>
          <w:ilvl w:val="0"/>
          <w:numId w:val="2"/>
        </w:numPr>
        <w:spacing w:after="100" w:line="290"/>
      </w:pPr>
      <w:r>
        <w:rPr>
          <w:rFonts w:ascii="Calibri" w:cs="Calibri" w:eastAsia="Calibri" w:hAnsi="Calibri"/>
          <w:sz w:val="22"/>
          <w:szCs w:val="22"/>
        </w:rPr>
        <w:t xml:space="preserve">Listeners of the longevity podcast ecosystem (Attia, Huberman, Rhonda Patrick, Hyman, Means siblings, Bret Weinstein) who want a single book they can hand to a skeptical family member</w:t>
      </w:r>
    </w:p>
    <w:p>
      <w:pPr>
        <w:pStyle w:val="ListParagraph"/>
        <w:numPr>
          <w:ilvl w:val="0"/>
          <w:numId w:val="2"/>
        </w:numPr>
        <w:spacing w:after="100" w:line="290"/>
      </w:pPr>
      <w:r>
        <w:rPr>
          <w:rFonts w:ascii="Calibri" w:cs="Calibri" w:eastAsia="Calibri" w:hAnsi="Calibri"/>
          <w:sz w:val="22"/>
          <w:szCs w:val="22"/>
        </w:rPr>
        <w:t xml:space="preserve">Policy-curious readers interested in the regulatory mechanics of FDA, USDA, and EPA failure</w:t>
      </w:r>
    </w:p>
    <w:p>
      <w:pPr>
        <w:pStyle w:val="ListParagraph"/>
        <w:numPr>
          <w:ilvl w:val="0"/>
          <w:numId w:val="2"/>
        </w:numPr>
        <w:spacing w:after="100" w:line="290"/>
      </w:pPr>
      <w:r>
        <w:rPr>
          <w:rFonts w:ascii="Calibri" w:cs="Calibri" w:eastAsia="Calibri" w:hAnsi="Calibri"/>
          <w:sz w:val="22"/>
          <w:szCs w:val="22"/>
        </w:rPr>
        <w:t xml:space="preserve">Investors and operators in the longevity, regenerative-medicine, and digital-health verticals who need a public-facing primer on the delivery problem</w:t>
      </w:r>
    </w:p>
    <w:p>
      <w:pPr>
        <w:pStyle w:val="Heading3"/>
        <w:spacing w:after="100" w:before="200"/>
      </w:pPr>
      <w:r>
        <w:rPr>
          <w:rFonts w:ascii="Georgia" w:cs="Georgia" w:eastAsia="Georgia" w:hAnsi="Georgia"/>
          <w:b/>
          <w:bCs/>
          <w:color w:val="222222"/>
          <w:sz w:val="24"/>
          <w:szCs w:val="24"/>
        </w:rPr>
        <w:t xml:space="preserve">Audience size</w:t>
      </w:r>
    </w:p>
    <w:p>
      <w:pPr>
        <w:spacing w:after="160" w:line="300"/>
        <w:jc w:val="left"/>
      </w:pPr>
      <w:r>
        <w:rPr>
          <w:rFonts w:ascii="Calibri" w:cs="Calibri" w:eastAsia="Calibri" w:hAnsi="Calibri"/>
          <w:sz w:val="22"/>
          <w:szCs w:val="22"/>
        </w:rPr>
        <w:t xml:space="preserve">The combined category — investigative health journalism plus longevity — represents one of the most reliably durable segments in non-fiction publishing. Recent comparable titles (see Section VI) have routinely cleared 100,000 hardcover copies and sustained backlist sales for five-plus years. SIC is positioned to capture both audiences simultaneously by being the first title to bridge them.</w:t>
      </w:r>
    </w:p>
    <w:p>
      <w:pPr>
        <w:pStyle w:val="Heading1"/>
        <w:pageBreakBefore/>
        <w:spacing w:after="200" w:before="240"/>
      </w:pPr>
      <w:r>
        <w:rPr>
          <w:rFonts w:ascii="Georgia" w:cs="Georgia" w:eastAsia="Georgia" w:hAnsi="Georgia"/>
          <w:b/>
          <w:bCs/>
          <w:color w:val="1E2761"/>
          <w:sz w:val="40"/>
          <w:szCs w:val="40"/>
        </w:rPr>
        <w:t xml:space="preserve">VI. Comparable Titles</w:t>
      </w:r>
    </w:p>
    <w:p>
      <w:pPr>
        <w:spacing w:after="160" w:line="300"/>
        <w:jc w:val="left"/>
      </w:pPr>
      <w:r>
        <w:rPr>
          <w:rFonts w:ascii="Calibri" w:cs="Calibri" w:eastAsia="Calibri" w:hAnsi="Calibri"/>
          <w:sz w:val="22"/>
          <w:szCs w:val="22"/>
        </w:rPr>
        <w:t xml:space="preserve">The strongest signal that SIC has a market is that its two natural shelves — investigative food/health journalism and longevity — have both produced major bestsellers, and yet no single book has connected them. SIC is written explicitly to be that connector.</w:t>
      </w:r>
    </w:p>
    <w:p>
      <w:pPr>
        <w:pStyle w:val="Heading3"/>
        <w:spacing w:after="100" w:before="200"/>
      </w:pPr>
      <w:r>
        <w:rPr>
          <w:rFonts w:ascii="Georgia" w:cs="Georgia" w:eastAsia="Georgia" w:hAnsi="Georgia"/>
          <w:b/>
          <w:bCs/>
          <w:color w:val="222222"/>
          <w:sz w:val="24"/>
          <w:szCs w:val="24"/>
        </w:rPr>
        <w:t xml:space="preserve">Direct comparables</w:t>
      </w:r>
    </w:p>
    <w:p>
      <w:pPr>
        <w:spacing w:after="160" w:line="300"/>
        <w:jc w:val="left"/>
      </w:pPr>
      <w:r>
        <w:rPr>
          <w:rFonts w:ascii="Calibri" w:cs="Calibri" w:eastAsia="Calibri" w:hAnsi="Calibri"/>
          <w:i w:val="false"/>
          <w:iCs w:val="false"/>
          <w:sz w:val="22"/>
          <w:szCs w:val="22"/>
        </w:rPr>
        <w:t xml:space="preserve">Outlive: The Science and Art of Longevity — Peter Attia, MD (2023, Harmony). #1 New York Times bestseller, 1M+ copies. Attia's book defined the modern longevity shelf and made "Medicine 3.0" a household phrase. SIC speaks to the same reader but answers the question Outlive deliberately does not: how does any of this reach a person who is not a wealthy concierge-medicine patient? Where Outlive is a personal operating manual, SIC is a public infrastructure argument.</w:t>
      </w:r>
    </w:p>
    <w:p>
      <w:pPr>
        <w:spacing w:after="160" w:line="300"/>
        <w:jc w:val="left"/>
      </w:pPr>
      <w:r>
        <w:rPr>
          <w:rFonts w:ascii="Calibri" w:cs="Calibri" w:eastAsia="Calibri" w:hAnsi="Calibri"/>
          <w:sz w:val="22"/>
          <w:szCs w:val="22"/>
        </w:rPr>
        <w:t xml:space="preserve">The Case Against Sugar — Gary Taubes (2016, Knopf). A model for how to indict an entire category of the food system without losing the general reader. SIC borrows Taubes's rigor and applies it across a much wider surface — guidance, processing, chemistry, regulation, and economics — rather than a single ingredient.</w:t>
      </w:r>
    </w:p>
    <w:p>
      <w:pPr>
        <w:spacing w:after="160" w:line="300"/>
        <w:jc w:val="left"/>
      </w:pPr>
      <w:r>
        <w:rPr>
          <w:rFonts w:ascii="Calibri" w:cs="Calibri" w:eastAsia="Calibri" w:hAnsi="Calibri"/>
          <w:sz w:val="22"/>
          <w:szCs w:val="22"/>
        </w:rPr>
        <w:t xml:space="preserve">Salt Sugar Fat — Michael Moss (2013, Random House). Pulitzer-winning investigative reporting on the engineering of processed food. Still the gold standard for industry exposé. SIC extends Moss's reporting forward by a decade and out into the regulatory and longevity space he did not cover.</w:t>
      </w:r>
    </w:p>
    <w:p>
      <w:pPr>
        <w:spacing w:after="160" w:line="300"/>
        <w:jc w:val="left"/>
      </w:pPr>
      <w:r>
        <w:rPr>
          <w:rFonts w:ascii="Calibri" w:cs="Calibri" w:eastAsia="Calibri" w:hAnsi="Calibri"/>
          <w:sz w:val="22"/>
          <w:szCs w:val="22"/>
        </w:rPr>
        <w:t xml:space="preserve">Lifespan — David Sinclair, PhD (2019, Atria). Made cellular aging a popular subject. SIC takes Sinclair's scientific premise seriously while pushing back on the implicit assumption that the resulting interventions will simply trickle down through normal market channels.</w:t>
      </w:r>
    </w:p>
    <w:p>
      <w:pPr>
        <w:spacing w:after="160" w:line="300"/>
        <w:jc w:val="left"/>
      </w:pPr>
      <w:r>
        <w:rPr>
          <w:rFonts w:ascii="Calibri" w:cs="Calibri" w:eastAsia="Calibri" w:hAnsi="Calibri"/>
          <w:sz w:val="22"/>
          <w:szCs w:val="22"/>
        </w:rPr>
        <w:t xml:space="preserve">The Big Fat Surprise — Nina Teicholz (2014, Simon &amp; Schuster). Demonstrated that a single reporter can dismantle a half-century of official dietary guidance and reach a mainstream audience. SIC adopts the same investigative posture and pairs it with a constructive third act Teicholz did not attempt.</w:t>
      </w:r>
    </w:p>
    <w:p>
      <w:pPr>
        <w:pStyle w:val="Heading3"/>
        <w:spacing w:after="100" w:before="200"/>
      </w:pPr>
      <w:r>
        <w:rPr>
          <w:rFonts w:ascii="Georgia" w:cs="Georgia" w:eastAsia="Georgia" w:hAnsi="Georgia"/>
          <w:b/>
          <w:bCs/>
          <w:color w:val="222222"/>
          <w:sz w:val="24"/>
          <w:szCs w:val="24"/>
        </w:rPr>
        <w:t xml:space="preserve">Indirect comparables</w:t>
      </w:r>
    </w:p>
    <w:p>
      <w:pPr>
        <w:pStyle w:val="ListParagraph"/>
        <w:numPr>
          <w:ilvl w:val="0"/>
          <w:numId w:val="2"/>
        </w:numPr>
        <w:spacing w:after="100" w:line="290"/>
      </w:pPr>
      <w:r>
        <w:rPr>
          <w:rFonts w:ascii="Calibri" w:cs="Calibri" w:eastAsia="Calibri" w:hAnsi="Calibri"/>
          <w:sz w:val="22"/>
          <w:szCs w:val="22"/>
        </w:rPr>
        <w:t xml:space="preserve">In Defense of Food — Michael Pollan (2008, Penguin)</w:t>
      </w:r>
    </w:p>
    <w:p>
      <w:pPr>
        <w:pStyle w:val="ListParagraph"/>
        <w:numPr>
          <w:ilvl w:val="0"/>
          <w:numId w:val="2"/>
        </w:numPr>
        <w:spacing w:after="100" w:line="290"/>
      </w:pPr>
      <w:r>
        <w:rPr>
          <w:rFonts w:ascii="Calibri" w:cs="Calibri" w:eastAsia="Calibri" w:hAnsi="Calibri"/>
          <w:sz w:val="22"/>
          <w:szCs w:val="22"/>
        </w:rPr>
        <w:t xml:space="preserve">The Obesity Code — Jason Fung, MD (2016, Greystone)</w:t>
      </w:r>
    </w:p>
    <w:p>
      <w:pPr>
        <w:pStyle w:val="ListParagraph"/>
        <w:numPr>
          <w:ilvl w:val="0"/>
          <w:numId w:val="2"/>
        </w:numPr>
        <w:spacing w:after="100" w:line="290"/>
      </w:pPr>
      <w:r>
        <w:rPr>
          <w:rFonts w:ascii="Calibri" w:cs="Calibri" w:eastAsia="Calibri" w:hAnsi="Calibri"/>
          <w:sz w:val="22"/>
          <w:szCs w:val="22"/>
        </w:rPr>
        <w:t xml:space="preserve">Good Energy — Casey &amp; Calley Means (2024, Avery)</w:t>
      </w:r>
    </w:p>
    <w:p>
      <w:pPr>
        <w:pStyle w:val="ListParagraph"/>
        <w:numPr>
          <w:ilvl w:val="0"/>
          <w:numId w:val="2"/>
        </w:numPr>
        <w:spacing w:after="100" w:line="290"/>
      </w:pPr>
      <w:r>
        <w:rPr>
          <w:rFonts w:ascii="Calibri" w:cs="Calibri" w:eastAsia="Calibri" w:hAnsi="Calibri"/>
          <w:sz w:val="22"/>
          <w:szCs w:val="22"/>
        </w:rPr>
        <w:t xml:space="preserve">Why We Get Sick — Benjamin Bikman, PhD (2020, BenBella)</w:t>
      </w:r>
    </w:p>
    <w:p>
      <w:pPr>
        <w:pStyle w:val="Heading3"/>
        <w:spacing w:after="100" w:before="200"/>
      </w:pPr>
      <w:r>
        <w:rPr>
          <w:rFonts w:ascii="Georgia" w:cs="Georgia" w:eastAsia="Georgia" w:hAnsi="Georgia"/>
          <w:b/>
          <w:bCs/>
          <w:color w:val="222222"/>
          <w:sz w:val="24"/>
          <w:szCs w:val="24"/>
        </w:rPr>
        <w:t xml:space="preserve">What SIC does that none of these do</w:t>
      </w:r>
    </w:p>
    <w:p>
      <w:pPr>
        <w:spacing w:after="160" w:line="300"/>
        <w:jc w:val="left"/>
      </w:pPr>
      <w:r>
        <w:rPr>
          <w:rFonts w:ascii="Calibri" w:cs="Calibri" w:eastAsia="Calibri" w:hAnsi="Calibri"/>
          <w:sz w:val="22"/>
          <w:szCs w:val="22"/>
        </w:rPr>
        <w:t xml:space="preserve">No book on the comparable shelf carries an operational delivery layer into its final act. Every one of them ends with individual advice ("eat this," "test that," "talk to your doctor"). SIC ends with infrastructure: a named alliance, a council of clinicians, an audited consent-and-records platform, and a public path readers can walk through. That is the white space SIC is built for.</w:t>
      </w:r>
    </w:p>
    <w:p>
      <w:pPr>
        <w:pStyle w:val="Heading1"/>
        <w:pageBreakBefore/>
        <w:spacing w:after="200" w:before="240"/>
      </w:pPr>
      <w:r>
        <w:rPr>
          <w:rFonts w:ascii="Georgia" w:cs="Georgia" w:eastAsia="Georgia" w:hAnsi="Georgia"/>
          <w:b/>
          <w:bCs/>
          <w:color w:val="1E2761"/>
          <w:sz w:val="40"/>
          <w:szCs w:val="40"/>
        </w:rPr>
        <w:t xml:space="preserve">VII. About the Author</w:t>
      </w:r>
    </w:p>
    <w:p>
      <w:pPr>
        <w:spacing w:after="160" w:line="300"/>
        <w:jc w:val="left"/>
      </w:pPr>
      <w:r>
        <w:rPr>
          <w:rFonts w:ascii="Calibri" w:cs="Calibri" w:eastAsia="Calibri" w:hAnsi="Calibri"/>
          <w:sz w:val="22"/>
          <w:szCs w:val="22"/>
        </w:rPr>
        <w:t xml:space="preserve">Steven A. Hunt, MBA, is the founder and CEO of LIRS and a sitting member of the CCRPac Longevity Council. He has spent more than twenty years building practice-management, documentation, and patient-care operations for the chiropractic and integrative-medicine industry, with direct operational exposure to the gap between what clinicians can offer and what regulators, insurers, and information systems will allow them to deliver.</w:t>
      </w:r>
    </w:p>
    <w:p>
      <w:pPr>
        <w:spacing w:after="160" w:line="300"/>
        <w:jc w:val="left"/>
      </w:pPr>
      <w:r>
        <w:rPr>
          <w:rFonts w:ascii="Calibri" w:cs="Calibri" w:eastAsia="Calibri" w:hAnsi="Calibri"/>
          <w:sz w:val="22"/>
          <w:szCs w:val="22"/>
        </w:rPr>
        <w:t xml:space="preserve">He co-founded the Phenomenal Longevity Alliance to consolidate that gap into a single operating layer: a council-governed, lane-based organization that pairs clinicians (Dr. Howard Leonhardt of Lionheart Longevity, Dr. John Hunt, Dr. Yonel Rivera, Han LT Hoang, MD, and others) with operators (Charlie Jarvis and Shana Pritchard of Phenomenal Enterprises), researchers (Stephanie Chan, PhD; Andrew Azadi of Genetic Edge Labs), and an infrastructure partner (Robert Smith, founder of ATLAS Power Networks) to build something the longevity field has never had: a verified delivery layer.</w:t>
      </w:r>
    </w:p>
    <w:p>
      <w:pPr>
        <w:spacing w:after="160" w:line="300"/>
        <w:jc w:val="left"/>
      </w:pPr>
      <w:r>
        <w:rPr>
          <w:rFonts w:ascii="Calibri" w:cs="Calibri" w:eastAsia="Calibri" w:hAnsi="Calibri"/>
          <w:sz w:val="22"/>
          <w:szCs w:val="22"/>
        </w:rPr>
        <w:t xml:space="preserve">Hunt is not a physician and does not present himself as one. SIC is reported from the position of an operator who has watched, from the inside, how interventions reach — or fail to reach — the people who need them. That vantage is the book's authority and the reason the Alliance trusts him to write it.</w:t>
      </w:r>
    </w:p>
    <w:p>
      <w:pPr>
        <w:pStyle w:val="Heading3"/>
        <w:spacing w:after="100" w:before="200"/>
      </w:pPr>
      <w:r>
        <w:rPr>
          <w:rFonts w:ascii="Georgia" w:cs="Georgia" w:eastAsia="Georgia" w:hAnsi="Georgia"/>
          <w:b/>
          <w:bCs/>
          <w:color w:val="222222"/>
          <w:sz w:val="24"/>
          <w:szCs w:val="24"/>
        </w:rPr>
        <w:t xml:space="preserve">Credentials &amp; affiliations</w:t>
      </w:r>
    </w:p>
    <w:p>
      <w:pPr>
        <w:pStyle w:val="ListParagraph"/>
        <w:numPr>
          <w:ilvl w:val="0"/>
          <w:numId w:val="2"/>
        </w:numPr>
        <w:spacing w:after="100" w:line="290"/>
      </w:pPr>
      <w:r>
        <w:rPr>
          <w:rFonts w:ascii="Calibri" w:cs="Calibri" w:eastAsia="Calibri" w:hAnsi="Calibri"/>
          <w:sz w:val="22"/>
          <w:szCs w:val="22"/>
        </w:rPr>
        <w:t xml:space="preserve">Founder &amp; CEO, LIRS (since 2002; chiropractic and integrative-medicine operations)</w:t>
      </w:r>
    </w:p>
    <w:p>
      <w:pPr>
        <w:pStyle w:val="ListParagraph"/>
        <w:numPr>
          <w:ilvl w:val="0"/>
          <w:numId w:val="2"/>
        </w:numPr>
        <w:spacing w:after="100" w:line="290"/>
      </w:pPr>
      <w:r>
        <w:rPr>
          <w:rFonts w:ascii="Calibri" w:cs="Calibri" w:eastAsia="Calibri" w:hAnsi="Calibri"/>
          <w:sz w:val="22"/>
          <w:szCs w:val="22"/>
        </w:rPr>
        <w:t xml:space="preserve">Member, CCRPac Longevity Council</w:t>
      </w:r>
    </w:p>
    <w:p>
      <w:pPr>
        <w:pStyle w:val="ListParagraph"/>
        <w:numPr>
          <w:ilvl w:val="0"/>
          <w:numId w:val="2"/>
        </w:numPr>
        <w:spacing w:after="100" w:line="290"/>
      </w:pPr>
      <w:r>
        <w:rPr>
          <w:rFonts w:ascii="Calibri" w:cs="Calibri" w:eastAsia="Calibri" w:hAnsi="Calibri"/>
          <w:sz w:val="22"/>
          <w:szCs w:val="22"/>
        </w:rPr>
        <w:t xml:space="preserve">Co-founder, Phenomenal Longevity Alliance</w:t>
      </w:r>
    </w:p>
    <w:p>
      <w:pPr>
        <w:pStyle w:val="ListParagraph"/>
        <w:numPr>
          <w:ilvl w:val="0"/>
          <w:numId w:val="2"/>
        </w:numPr>
        <w:spacing w:after="100" w:line="290"/>
      </w:pPr>
      <w:r>
        <w:rPr>
          <w:rFonts w:ascii="Calibri" w:cs="Calibri" w:eastAsia="Calibri" w:hAnsi="Calibri"/>
          <w:sz w:val="22"/>
          <w:szCs w:val="22"/>
        </w:rPr>
        <w:t xml:space="preserve">MBA, with a focus on healthcare operations and information systems</w:t>
      </w:r>
    </w:p>
    <w:p>
      <w:pPr>
        <w:pStyle w:val="ListParagraph"/>
        <w:numPr>
          <w:ilvl w:val="0"/>
          <w:numId w:val="2"/>
        </w:numPr>
        <w:spacing w:after="100" w:line="290"/>
      </w:pPr>
      <w:r>
        <w:rPr>
          <w:rFonts w:ascii="Calibri" w:cs="Calibri" w:eastAsia="Calibri" w:hAnsi="Calibri"/>
          <w:sz w:val="22"/>
          <w:szCs w:val="22"/>
        </w:rPr>
        <w:t xml:space="preserve">Public site and platform hub: steven.atlaspower.ai</w:t>
      </w:r>
    </w:p>
    <w:p>
      <w:pPr>
        <w:pStyle w:val="Heading1"/>
        <w:pageBreakBefore/>
        <w:spacing w:after="200" w:before="240"/>
      </w:pPr>
      <w:r>
        <w:rPr>
          <w:rFonts w:ascii="Georgia" w:cs="Georgia" w:eastAsia="Georgia" w:hAnsi="Georgia"/>
          <w:b/>
          <w:bCs/>
          <w:color w:val="1E2761"/>
          <w:sz w:val="40"/>
          <w:szCs w:val="40"/>
        </w:rPr>
        <w:t xml:space="preserve">VIII. Author Platform</w:t>
      </w:r>
    </w:p>
    <w:p>
      <w:pPr>
        <w:spacing w:after="160" w:line="300"/>
        <w:jc w:val="left"/>
      </w:pPr>
      <w:r>
        <w:rPr>
          <w:rFonts w:ascii="Calibri" w:cs="Calibri" w:eastAsia="Calibri" w:hAnsi="Calibri"/>
          <w:sz w:val="22"/>
          <w:szCs w:val="22"/>
        </w:rPr>
        <w:t xml:space="preserve">SIC does not arrive at a publisher as a solo project. It arrives with a council, an enrollment funnel, and an infrastructure partner — three things that solve, in advance, the marketing problems most non-fiction acquisitions worry about.</w:t>
      </w:r>
    </w:p>
    <w:p>
      <w:pPr>
        <w:pStyle w:val="Heading3"/>
        <w:spacing w:after="100" w:before="200"/>
      </w:pPr>
      <w:r>
        <w:rPr>
          <w:rFonts w:ascii="Georgia" w:cs="Georgia" w:eastAsia="Georgia" w:hAnsi="Georgia"/>
          <w:b/>
          <w:bCs/>
          <w:color w:val="222222"/>
          <w:sz w:val="24"/>
          <w:szCs w:val="24"/>
        </w:rPr>
        <w:t xml:space="preserve">The Alliance as platform</w:t>
      </w:r>
    </w:p>
    <w:p>
      <w:pPr>
        <w:spacing w:after="160" w:line="300"/>
        <w:jc w:val="left"/>
      </w:pPr>
      <w:r>
        <w:rPr>
          <w:rFonts w:ascii="Calibri" w:cs="Calibri" w:eastAsia="Calibri" w:hAnsi="Calibri"/>
          <w:sz w:val="22"/>
          <w:szCs w:val="22"/>
        </w:rPr>
        <w:t xml:space="preserve">The Phenomenal Longevity Alliance is a working multi-disciplinary council: a Founder &amp; CEO, three co-founders (Jarvis, Pritchard, Leonhardt), an infrastructure architect (Smith / ATLAS), nine confirmed operating members, and eight invited advisors spanning clinical practice, research, hospitality, and capital. Each member brings an existing audience, list, or referral pipeline. At launch, the Alliance roster controls a combined practitioner network estimated at 40,000+ patient relationships and a contact graph well into the hundreds of thousands.</w:t>
      </w:r>
    </w:p>
    <w:p>
      <w:pPr>
        <w:pStyle w:val="Heading3"/>
        <w:spacing w:after="100" w:before="200"/>
      </w:pPr>
      <w:r>
        <w:rPr>
          <w:rFonts w:ascii="Georgia" w:cs="Georgia" w:eastAsia="Georgia" w:hAnsi="Georgia"/>
          <w:b/>
          <w:bCs/>
          <w:color w:val="222222"/>
          <w:sz w:val="24"/>
          <w:szCs w:val="24"/>
        </w:rPr>
        <w:t xml:space="preserve">Digital footprint</w:t>
      </w:r>
    </w:p>
    <w:p>
      <w:pPr>
        <w:pStyle w:val="ListParagraph"/>
        <w:numPr>
          <w:ilvl w:val="0"/>
          <w:numId w:val="2"/>
        </w:numPr>
        <w:spacing w:after="100" w:line="290"/>
      </w:pPr>
      <w:r>
        <w:rPr>
          <w:rFonts w:ascii="Calibri" w:cs="Calibri" w:eastAsia="Calibri" w:hAnsi="Calibri"/>
          <w:sz w:val="22"/>
          <w:szCs w:val="22"/>
        </w:rPr>
        <w:t xml:space="preserve">steven.atlaspower.ai — author hub with manuscript previews, audio sample, contributor list, and a verified enrollment path</w:t>
      </w:r>
    </w:p>
    <w:p>
      <w:pPr>
        <w:pStyle w:val="ListParagraph"/>
        <w:numPr>
          <w:ilvl w:val="0"/>
          <w:numId w:val="2"/>
        </w:numPr>
        <w:spacing w:after="100" w:line="290"/>
      </w:pPr>
      <w:r>
        <w:rPr>
          <w:rFonts w:ascii="Calibri" w:cs="Calibri" w:eastAsia="Calibri" w:hAnsi="Calibri"/>
          <w:sz w:val="22"/>
          <w:szCs w:val="22"/>
        </w:rPr>
        <w:t xml:space="preserve">Phenomenal Longevity Alliance public roster and lane structure (atlas + alliance subdomains)</w:t>
      </w:r>
    </w:p>
    <w:p>
      <w:pPr>
        <w:pStyle w:val="ListParagraph"/>
        <w:numPr>
          <w:ilvl w:val="0"/>
          <w:numId w:val="2"/>
        </w:numPr>
        <w:spacing w:after="100" w:line="290"/>
      </w:pPr>
      <w:r>
        <w:rPr>
          <w:rFonts w:ascii="Calibri" w:cs="Calibri" w:eastAsia="Calibri" w:hAnsi="Calibri"/>
          <w:sz w:val="22"/>
          <w:szCs w:val="22"/>
        </w:rPr>
        <w:t xml:space="preserve">ATLAS Power Networks infrastructure footprint, providing audited delivery, identity, and records</w:t>
      </w:r>
    </w:p>
    <w:p>
      <w:pPr>
        <w:pStyle w:val="ListParagraph"/>
        <w:numPr>
          <w:ilvl w:val="0"/>
          <w:numId w:val="2"/>
        </w:numPr>
        <w:spacing w:after="100" w:line="290"/>
      </w:pPr>
      <w:r>
        <w:rPr>
          <w:rFonts w:ascii="Calibri" w:cs="Calibri" w:eastAsia="Calibri" w:hAnsi="Calibri"/>
          <w:sz w:val="22"/>
          <w:szCs w:val="22"/>
        </w:rPr>
        <w:t xml:space="preserve">Email capture in place ahead of pub date; lists will be ported to publisher's preferred ESP for launch coordination</w:t>
      </w:r>
    </w:p>
    <w:p>
      <w:pPr>
        <w:pStyle w:val="Heading3"/>
        <w:spacing w:after="100" w:before="200"/>
      </w:pPr>
      <w:r>
        <w:rPr>
          <w:rFonts w:ascii="Georgia" w:cs="Georgia" w:eastAsia="Georgia" w:hAnsi="Georgia"/>
          <w:b/>
          <w:bCs/>
          <w:color w:val="222222"/>
          <w:sz w:val="24"/>
          <w:szCs w:val="24"/>
        </w:rPr>
        <w:t xml:space="preserve">Speaking &amp; event pipeline</w:t>
      </w:r>
    </w:p>
    <w:p>
      <w:pPr>
        <w:pStyle w:val="ListParagraph"/>
        <w:numPr>
          <w:ilvl w:val="0"/>
          <w:numId w:val="2"/>
        </w:numPr>
        <w:spacing w:after="100" w:line="290"/>
      </w:pPr>
      <w:r>
        <w:rPr>
          <w:rFonts w:ascii="Calibri" w:cs="Calibri" w:eastAsia="Calibri" w:hAnsi="Calibri"/>
          <w:sz w:val="22"/>
          <w:szCs w:val="22"/>
        </w:rPr>
        <w:t xml:space="preserve">CCRPac Longevity Council seminar program (quarterly, in-person, practitioner audience)</w:t>
      </w:r>
    </w:p>
    <w:p>
      <w:pPr>
        <w:pStyle w:val="ListParagraph"/>
        <w:numPr>
          <w:ilvl w:val="0"/>
          <w:numId w:val="2"/>
        </w:numPr>
        <w:spacing w:after="100" w:line="290"/>
      </w:pPr>
      <w:r>
        <w:rPr>
          <w:rFonts w:ascii="Calibri" w:cs="Calibri" w:eastAsia="Calibri" w:hAnsi="Calibri"/>
          <w:sz w:val="22"/>
          <w:szCs w:val="22"/>
        </w:rPr>
        <w:t xml:space="preserve">Phenomenal Enterprises hospitality venues — author readings and Alliance member events can be staged at scale through existing partner properties</w:t>
      </w:r>
    </w:p>
    <w:p>
      <w:pPr>
        <w:pStyle w:val="ListParagraph"/>
        <w:numPr>
          <w:ilvl w:val="0"/>
          <w:numId w:val="2"/>
        </w:numPr>
        <w:spacing w:after="100" w:line="290"/>
      </w:pPr>
      <w:r>
        <w:rPr>
          <w:rFonts w:ascii="Calibri" w:cs="Calibri" w:eastAsia="Calibri" w:hAnsi="Calibri"/>
          <w:sz w:val="22"/>
          <w:szCs w:val="22"/>
        </w:rPr>
        <w:t xml:space="preserve">Practitioner conferences: standing relationships with chiropractic and integrative-medicine conference circuits across the U.S. and Mexico</w:t>
      </w:r>
    </w:p>
    <w:p>
      <w:pPr>
        <w:pStyle w:val="Heading1"/>
        <w:pageBreakBefore/>
        <w:spacing w:after="200" w:before="240"/>
      </w:pPr>
      <w:r>
        <w:rPr>
          <w:rFonts w:ascii="Georgia" w:cs="Georgia" w:eastAsia="Georgia" w:hAnsi="Georgia"/>
          <w:b/>
          <w:bCs/>
          <w:color w:val="1E2761"/>
          <w:sz w:val="40"/>
          <w:szCs w:val="40"/>
        </w:rPr>
        <w:t xml:space="preserve">IX. Marketing &amp; Publicity Plan</w:t>
      </w:r>
    </w:p>
    <w:p>
      <w:pPr>
        <w:spacing w:after="160" w:line="300"/>
        <w:jc w:val="left"/>
      </w:pPr>
      <w:r>
        <w:rPr>
          <w:rFonts w:ascii="Calibri" w:cs="Calibri" w:eastAsia="Calibri" w:hAnsi="Calibri"/>
          <w:sz w:val="22"/>
          <w:szCs w:val="22"/>
        </w:rPr>
        <w:t xml:space="preserve">The author and Alliance will run a coordinated campaign in lock-step with the publisher's marketing and publicity teams. The campaign is designed in three waves around publication.</w:t>
      </w:r>
    </w:p>
    <w:p>
      <w:pPr>
        <w:pStyle w:val="Heading3"/>
        <w:spacing w:after="100" w:before="200"/>
      </w:pPr>
      <w:r>
        <w:rPr>
          <w:rFonts w:ascii="Georgia" w:cs="Georgia" w:eastAsia="Georgia" w:hAnsi="Georgia"/>
          <w:b/>
          <w:bCs/>
          <w:color w:val="222222"/>
          <w:sz w:val="24"/>
          <w:szCs w:val="24"/>
        </w:rPr>
        <w:t xml:space="preserve">Wave 1 — Pre-publication (T-6 to T-0 months)</w:t>
      </w:r>
    </w:p>
    <w:p>
      <w:pPr>
        <w:pStyle w:val="ListParagraph"/>
        <w:numPr>
          <w:ilvl w:val="0"/>
          <w:numId w:val="2"/>
        </w:numPr>
        <w:spacing w:after="100" w:line="290"/>
      </w:pPr>
      <w:r>
        <w:rPr>
          <w:rFonts w:ascii="Calibri" w:cs="Calibri" w:eastAsia="Calibri" w:hAnsi="Calibri"/>
          <w:sz w:val="22"/>
          <w:szCs w:val="22"/>
        </w:rPr>
        <w:t xml:space="preserve">Galley distribution to the longevity, integrative-medicine, and investigative-health podcast circuit (~25 confirmed targets)</w:t>
      </w:r>
    </w:p>
    <w:p>
      <w:pPr>
        <w:pStyle w:val="ListParagraph"/>
        <w:numPr>
          <w:ilvl w:val="0"/>
          <w:numId w:val="2"/>
        </w:numPr>
        <w:spacing w:after="100" w:line="290"/>
      </w:pPr>
      <w:r>
        <w:rPr>
          <w:rFonts w:ascii="Calibri" w:cs="Calibri" w:eastAsia="Calibri" w:hAnsi="Calibri"/>
          <w:sz w:val="22"/>
          <w:szCs w:val="22"/>
        </w:rPr>
        <w:t xml:space="preserve">Op-eds and long-form essays placed in advance — targets include The Atlantic, New York Times Opinion, Wired, STAT News, Outside, and the wellness verticals at major newsletters (Common Sense, The Free Press, Tangle, Slow Boring)</w:t>
      </w:r>
    </w:p>
    <w:p>
      <w:pPr>
        <w:pStyle w:val="ListParagraph"/>
        <w:numPr>
          <w:ilvl w:val="0"/>
          <w:numId w:val="2"/>
        </w:numPr>
        <w:spacing w:after="100" w:line="290"/>
      </w:pPr>
      <w:r>
        <w:rPr>
          <w:rFonts w:ascii="Calibri" w:cs="Calibri" w:eastAsia="Calibri" w:hAnsi="Calibri"/>
          <w:sz w:val="22"/>
          <w:szCs w:val="22"/>
        </w:rPr>
        <w:t xml:space="preserve">Trade pre-orders driven through Alliance and practitioner-network email lists</w:t>
      </w:r>
    </w:p>
    <w:p>
      <w:pPr>
        <w:pStyle w:val="ListParagraph"/>
        <w:numPr>
          <w:ilvl w:val="0"/>
          <w:numId w:val="2"/>
        </w:numPr>
        <w:spacing w:after="100" w:line="290"/>
      </w:pPr>
      <w:r>
        <w:rPr>
          <w:rFonts w:ascii="Calibri" w:cs="Calibri" w:eastAsia="Calibri" w:hAnsi="Calibri"/>
          <w:sz w:val="22"/>
          <w:szCs w:val="22"/>
        </w:rPr>
        <w:t xml:space="preserve">Author tour announcement at Alliance seminar (built-in audience of 300+ practitioners with patient followings)</w:t>
      </w:r>
    </w:p>
    <w:p>
      <w:pPr>
        <w:pStyle w:val="Heading3"/>
        <w:spacing w:after="100" w:before="200"/>
      </w:pPr>
      <w:r>
        <w:rPr>
          <w:rFonts w:ascii="Georgia" w:cs="Georgia" w:eastAsia="Georgia" w:hAnsi="Georgia"/>
          <w:b/>
          <w:bCs/>
          <w:color w:val="222222"/>
          <w:sz w:val="24"/>
          <w:szCs w:val="24"/>
        </w:rPr>
        <w:t xml:space="preserve">Wave 2 — Launch (T-0 to T+3 months)</w:t>
      </w:r>
    </w:p>
    <w:p>
      <w:pPr>
        <w:pStyle w:val="ListParagraph"/>
        <w:numPr>
          <w:ilvl w:val="0"/>
          <w:numId w:val="2"/>
        </w:numPr>
        <w:spacing w:after="100" w:line="290"/>
      </w:pPr>
      <w:r>
        <w:rPr>
          <w:rFonts w:ascii="Calibri" w:cs="Calibri" w:eastAsia="Calibri" w:hAnsi="Calibri"/>
          <w:sz w:val="22"/>
          <w:szCs w:val="22"/>
        </w:rPr>
        <w:t xml:space="preserve">National podcast tour: Attia's The Drive, Huberman Lab, Hyman's Doctor's Farmacy, Rhonda Patrick's FoundMyFitness, Means siblings' newsletter and podcast slots, Bret Weinstein, Lex Fridman</w:t>
      </w:r>
    </w:p>
    <w:p>
      <w:pPr>
        <w:pStyle w:val="ListParagraph"/>
        <w:numPr>
          <w:ilvl w:val="0"/>
          <w:numId w:val="2"/>
        </w:numPr>
        <w:spacing w:after="100" w:line="290"/>
      </w:pPr>
      <w:r>
        <w:rPr>
          <w:rFonts w:ascii="Calibri" w:cs="Calibri" w:eastAsia="Calibri" w:hAnsi="Calibri"/>
          <w:sz w:val="22"/>
          <w:szCs w:val="22"/>
        </w:rPr>
        <w:t xml:space="preserve">Television: morning-show health segments, CBS Sunday Morning, 60 Minutes pitch around the GRAS investigation in Chapter 6</w:t>
      </w:r>
    </w:p>
    <w:p>
      <w:pPr>
        <w:pStyle w:val="ListParagraph"/>
        <w:numPr>
          <w:ilvl w:val="0"/>
          <w:numId w:val="2"/>
        </w:numPr>
        <w:spacing w:after="100" w:line="290"/>
      </w:pPr>
      <w:r>
        <w:rPr>
          <w:rFonts w:ascii="Calibri" w:cs="Calibri" w:eastAsia="Calibri" w:hAnsi="Calibri"/>
          <w:sz w:val="22"/>
          <w:szCs w:val="22"/>
        </w:rPr>
        <w:t xml:space="preserve">Print: NYT Sunday Review, WSJ Saturday Essay, Wired feature timed to publication week</w:t>
      </w:r>
    </w:p>
    <w:p>
      <w:pPr>
        <w:pStyle w:val="ListParagraph"/>
        <w:numPr>
          <w:ilvl w:val="0"/>
          <w:numId w:val="2"/>
        </w:numPr>
        <w:spacing w:after="100" w:line="290"/>
      </w:pPr>
      <w:r>
        <w:rPr>
          <w:rFonts w:ascii="Calibri" w:cs="Calibri" w:eastAsia="Calibri" w:hAnsi="Calibri"/>
          <w:sz w:val="22"/>
          <w:szCs w:val="22"/>
        </w:rPr>
        <w:t xml:space="preserve">Author events at Phenomenal Enterprises venues (San Diego, Los Angeles, and partner resort properties), plus independent-bookstore tour in 8 markets</w:t>
      </w:r>
    </w:p>
    <w:p>
      <w:pPr>
        <w:pStyle w:val="ListParagraph"/>
        <w:numPr>
          <w:ilvl w:val="0"/>
          <w:numId w:val="2"/>
        </w:numPr>
        <w:spacing w:after="100" w:line="290"/>
      </w:pPr>
      <w:r>
        <w:rPr>
          <w:rFonts w:ascii="Calibri" w:cs="Calibri" w:eastAsia="Calibri" w:hAnsi="Calibri"/>
          <w:sz w:val="22"/>
          <w:szCs w:val="22"/>
        </w:rPr>
        <w:t xml:space="preserve">Alliance "doorway" enrollment flow goes live at pub date — every reader who finishes the book has a real, named place to go next</w:t>
      </w:r>
    </w:p>
    <w:p>
      <w:pPr>
        <w:pStyle w:val="Heading3"/>
        <w:spacing w:after="100" w:before="200"/>
      </w:pPr>
      <w:r>
        <w:rPr>
          <w:rFonts w:ascii="Georgia" w:cs="Georgia" w:eastAsia="Georgia" w:hAnsi="Georgia"/>
          <w:b/>
          <w:bCs/>
          <w:color w:val="222222"/>
          <w:sz w:val="24"/>
          <w:szCs w:val="24"/>
        </w:rPr>
        <w:t xml:space="preserve">Wave 3 — Sustain (T+3 to T+18 months)</w:t>
      </w:r>
    </w:p>
    <w:p>
      <w:pPr>
        <w:pStyle w:val="ListParagraph"/>
        <w:numPr>
          <w:ilvl w:val="0"/>
          <w:numId w:val="2"/>
        </w:numPr>
        <w:spacing w:after="100" w:line="290"/>
      </w:pPr>
      <w:r>
        <w:rPr>
          <w:rFonts w:ascii="Calibri" w:cs="Calibri" w:eastAsia="Calibri" w:hAnsi="Calibri"/>
          <w:sz w:val="22"/>
          <w:szCs w:val="22"/>
        </w:rPr>
        <w:t xml:space="preserve">Quarterly Alliance public reports tied back to the book's framework</w:t>
      </w:r>
    </w:p>
    <w:p>
      <w:pPr>
        <w:pStyle w:val="ListParagraph"/>
        <w:numPr>
          <w:ilvl w:val="0"/>
          <w:numId w:val="2"/>
        </w:numPr>
        <w:spacing w:after="100" w:line="290"/>
      </w:pPr>
      <w:r>
        <w:rPr>
          <w:rFonts w:ascii="Calibri" w:cs="Calibri" w:eastAsia="Calibri" w:hAnsi="Calibri"/>
          <w:sz w:val="22"/>
          <w:szCs w:val="22"/>
        </w:rPr>
        <w:t xml:space="preserve">University and medical-school speaking circuit (the GRAS and dietary-guidance chapters travel well in academic settings)</w:t>
      </w:r>
    </w:p>
    <w:p>
      <w:pPr>
        <w:pStyle w:val="ListParagraph"/>
        <w:numPr>
          <w:ilvl w:val="0"/>
          <w:numId w:val="2"/>
        </w:numPr>
        <w:spacing w:after="100" w:line="290"/>
      </w:pPr>
      <w:r>
        <w:rPr>
          <w:rFonts w:ascii="Calibri" w:cs="Calibri" w:eastAsia="Calibri" w:hAnsi="Calibri"/>
          <w:sz w:val="22"/>
          <w:szCs w:val="22"/>
        </w:rPr>
        <w:t xml:space="preserve">Paperback / international rights / audiobook campaigns coordinated with publisher's subsidiary-rights team</w:t>
      </w:r>
    </w:p>
    <w:p>
      <w:pPr>
        <w:pStyle w:val="ListParagraph"/>
        <w:numPr>
          <w:ilvl w:val="0"/>
          <w:numId w:val="2"/>
        </w:numPr>
        <w:spacing w:after="100" w:line="290"/>
      </w:pPr>
      <w:r>
        <w:rPr>
          <w:rFonts w:ascii="Calibri" w:cs="Calibri" w:eastAsia="Calibri" w:hAnsi="Calibri"/>
          <w:sz w:val="22"/>
          <w:szCs w:val="22"/>
        </w:rPr>
        <w:t xml:space="preserve">Film/TV development (see Section X) treated as a marketing accelerator for the book backlist, not a separate project</w:t>
      </w:r>
    </w:p>
    <w:p>
      <w:pPr>
        <w:pStyle w:val="Heading3"/>
        <w:spacing w:after="100" w:before="200"/>
      </w:pPr>
      <w:r>
        <w:rPr>
          <w:rFonts w:ascii="Georgia" w:cs="Georgia" w:eastAsia="Georgia" w:hAnsi="Georgia"/>
          <w:b/>
          <w:bCs/>
          <w:color w:val="222222"/>
          <w:sz w:val="24"/>
          <w:szCs w:val="24"/>
        </w:rPr>
        <w:t xml:space="preserve">Owned-media assets at launch</w:t>
      </w:r>
    </w:p>
    <w:p>
      <w:pPr>
        <w:pStyle w:val="ListParagraph"/>
        <w:numPr>
          <w:ilvl w:val="0"/>
          <w:numId w:val="2"/>
        </w:numPr>
        <w:spacing w:after="100" w:line="290"/>
      </w:pPr>
      <w:r>
        <w:rPr>
          <w:rFonts w:ascii="Calibri" w:cs="Calibri" w:eastAsia="Calibri" w:hAnsi="Calibri"/>
          <w:sz w:val="22"/>
          <w:szCs w:val="22"/>
        </w:rPr>
        <w:t xml:space="preserve">Audio sample — Part One: The Door (already produced; live on author site)</w:t>
      </w:r>
    </w:p>
    <w:p>
      <w:pPr>
        <w:pStyle w:val="ListParagraph"/>
        <w:numPr>
          <w:ilvl w:val="0"/>
          <w:numId w:val="2"/>
        </w:numPr>
        <w:spacing w:after="100" w:line="290"/>
      </w:pPr>
      <w:r>
        <w:rPr>
          <w:rFonts w:ascii="Calibri" w:cs="Calibri" w:eastAsia="Calibri" w:hAnsi="Calibri"/>
          <w:sz w:val="22"/>
          <w:szCs w:val="22"/>
        </w:rPr>
        <w:t xml:space="preserve">Contributor video series — short on-camera interviews with each Alliance member, released weekly through launch</w:t>
      </w:r>
    </w:p>
    <w:p>
      <w:pPr>
        <w:pStyle w:val="ListParagraph"/>
        <w:numPr>
          <w:ilvl w:val="0"/>
          <w:numId w:val="2"/>
        </w:numPr>
        <w:spacing w:after="100" w:line="290"/>
      </w:pPr>
      <w:r>
        <w:rPr>
          <w:rFonts w:ascii="Calibri" w:cs="Calibri" w:eastAsia="Calibri" w:hAnsi="Calibri"/>
          <w:sz w:val="22"/>
          <w:szCs w:val="22"/>
        </w:rPr>
        <w:t xml:space="preserve">Source archive — a public, citation-linked archive of every FDA, USDA, and NHANES document referenced in the manuscript, hosted on the author site</w:t>
      </w:r>
    </w:p>
    <w:p>
      <w:pPr>
        <w:pStyle w:val="Heading1"/>
        <w:pageBreakBefore/>
        <w:spacing w:after="200" w:before="240"/>
      </w:pPr>
      <w:r>
        <w:rPr>
          <w:rFonts w:ascii="Georgia" w:cs="Georgia" w:eastAsia="Georgia" w:hAnsi="Georgia"/>
          <w:b/>
          <w:bCs/>
          <w:color w:val="1E2761"/>
          <w:sz w:val="40"/>
          <w:szCs w:val="40"/>
        </w:rPr>
        <w:t xml:space="preserve">X. Endorsements &amp; Alliance Support</w:t>
      </w:r>
    </w:p>
    <w:p>
      <w:pPr>
        <w:spacing w:after="160" w:line="300"/>
        <w:jc w:val="left"/>
      </w:pPr>
      <w:r>
        <w:rPr>
          <w:rFonts w:ascii="Calibri" w:cs="Calibri" w:eastAsia="Calibri" w:hAnsi="Calibri"/>
          <w:sz w:val="22"/>
          <w:szCs w:val="22"/>
        </w:rPr>
        <w:t xml:space="preserve">Endorsement commitments will be solicited formally once galleys are produced. The following relationships are already in place and have been briefed on the manuscript.</w:t>
      </w:r>
    </w:p>
    <w:p>
      <w:pPr>
        <w:pStyle w:val="Heading3"/>
        <w:spacing w:after="100" w:before="200"/>
      </w:pPr>
      <w:r>
        <w:rPr>
          <w:rFonts w:ascii="Georgia" w:cs="Georgia" w:eastAsia="Georgia" w:hAnsi="Georgia"/>
          <w:b/>
          <w:bCs/>
          <w:color w:val="222222"/>
          <w:sz w:val="24"/>
          <w:szCs w:val="24"/>
        </w:rPr>
        <w:t xml:space="preserve">Approved contributor sections (in manuscript)</w:t>
      </w:r>
    </w:p>
    <w:p>
      <w:pPr>
        <w:pStyle w:val="ListParagraph"/>
        <w:numPr>
          <w:ilvl w:val="0"/>
          <w:numId w:val="2"/>
        </w:numPr>
        <w:spacing w:after="100" w:line="290"/>
      </w:pPr>
      <w:r>
        <w:rPr>
          <w:rFonts w:ascii="Calibri" w:cs="Calibri" w:eastAsia="Calibri" w:hAnsi="Calibri"/>
          <w:sz w:val="22"/>
          <w:szCs w:val="22"/>
        </w:rPr>
        <w:t xml:space="preserve">Dr. Howard Leonhardt — Lionheart Longevity &amp; Wellness; regenerative medicine, stem cells, bio-electric research</w:t>
      </w:r>
    </w:p>
    <w:p>
      <w:pPr>
        <w:pStyle w:val="ListParagraph"/>
        <w:numPr>
          <w:ilvl w:val="0"/>
          <w:numId w:val="2"/>
        </w:numPr>
        <w:spacing w:after="100" w:line="290"/>
      </w:pPr>
      <w:r>
        <w:rPr>
          <w:rFonts w:ascii="Calibri" w:cs="Calibri" w:eastAsia="Calibri" w:hAnsi="Calibri"/>
          <w:sz w:val="22"/>
          <w:szCs w:val="22"/>
        </w:rPr>
        <w:t xml:space="preserve">Robert Smith — Founder &amp; CEO, ATLAS Power Networks; infrastructure and delivery-layer chapter</w:t>
      </w:r>
    </w:p>
    <w:p>
      <w:pPr>
        <w:pStyle w:val="ListParagraph"/>
        <w:numPr>
          <w:ilvl w:val="0"/>
          <w:numId w:val="2"/>
        </w:numPr>
        <w:spacing w:after="100" w:line="290"/>
      </w:pPr>
      <w:r>
        <w:rPr>
          <w:rFonts w:ascii="Calibri" w:cs="Calibri" w:eastAsia="Calibri" w:hAnsi="Calibri"/>
          <w:sz w:val="22"/>
          <w:szCs w:val="22"/>
        </w:rPr>
        <w:t xml:space="preserve">Dr. John Hunt, DC — Hunt Chiropractic Centers; practitioner-network perspective</w:t>
      </w:r>
    </w:p>
    <w:p>
      <w:pPr>
        <w:pStyle w:val="Heading3"/>
        <w:spacing w:after="100" w:before="200"/>
      </w:pPr>
      <w:r>
        <w:rPr>
          <w:rFonts w:ascii="Georgia" w:cs="Georgia" w:eastAsia="Georgia" w:hAnsi="Georgia"/>
          <w:b/>
          <w:bCs/>
          <w:color w:val="222222"/>
          <w:sz w:val="24"/>
          <w:szCs w:val="24"/>
        </w:rPr>
        <w:t xml:space="preserve">Endorsement targets (to be solicited)</w:t>
      </w:r>
    </w:p>
    <w:p>
      <w:pPr>
        <w:pStyle w:val="ListParagraph"/>
        <w:numPr>
          <w:ilvl w:val="0"/>
          <w:numId w:val="2"/>
        </w:numPr>
        <w:spacing w:after="100" w:line="290"/>
      </w:pPr>
      <w:r>
        <w:rPr>
          <w:rFonts w:ascii="Calibri" w:cs="Calibri" w:eastAsia="Calibri" w:hAnsi="Calibri"/>
          <w:sz w:val="22"/>
          <w:szCs w:val="22"/>
        </w:rPr>
        <w:t xml:space="preserve">Peter Attia, MD — Outlive</w:t>
      </w:r>
    </w:p>
    <w:p>
      <w:pPr>
        <w:pStyle w:val="ListParagraph"/>
        <w:numPr>
          <w:ilvl w:val="0"/>
          <w:numId w:val="2"/>
        </w:numPr>
        <w:spacing w:after="100" w:line="290"/>
      </w:pPr>
      <w:r>
        <w:rPr>
          <w:rFonts w:ascii="Calibri" w:cs="Calibri" w:eastAsia="Calibri" w:hAnsi="Calibri"/>
          <w:sz w:val="22"/>
          <w:szCs w:val="22"/>
        </w:rPr>
        <w:t xml:space="preserve">Casey Means, MD &amp; Calley Means — Good Energy</w:t>
      </w:r>
    </w:p>
    <w:p>
      <w:pPr>
        <w:pStyle w:val="ListParagraph"/>
        <w:numPr>
          <w:ilvl w:val="0"/>
          <w:numId w:val="2"/>
        </w:numPr>
        <w:spacing w:after="100" w:line="290"/>
      </w:pPr>
      <w:r>
        <w:rPr>
          <w:rFonts w:ascii="Calibri" w:cs="Calibri" w:eastAsia="Calibri" w:hAnsi="Calibri"/>
          <w:sz w:val="22"/>
          <w:szCs w:val="22"/>
        </w:rPr>
        <w:t xml:space="preserve">Mark Hyman, MD — Young Forever</w:t>
      </w:r>
    </w:p>
    <w:p>
      <w:pPr>
        <w:pStyle w:val="ListParagraph"/>
        <w:numPr>
          <w:ilvl w:val="0"/>
          <w:numId w:val="2"/>
        </w:numPr>
        <w:spacing w:after="100" w:line="290"/>
      </w:pPr>
      <w:r>
        <w:rPr>
          <w:rFonts w:ascii="Calibri" w:cs="Calibri" w:eastAsia="Calibri" w:hAnsi="Calibri"/>
          <w:sz w:val="22"/>
          <w:szCs w:val="22"/>
        </w:rPr>
        <w:t xml:space="preserve">Nina Teicholz — The Big Fat Surprise</w:t>
      </w:r>
    </w:p>
    <w:p>
      <w:pPr>
        <w:pStyle w:val="ListParagraph"/>
        <w:numPr>
          <w:ilvl w:val="0"/>
          <w:numId w:val="2"/>
        </w:numPr>
        <w:spacing w:after="100" w:line="290"/>
      </w:pPr>
      <w:r>
        <w:rPr>
          <w:rFonts w:ascii="Calibri" w:cs="Calibri" w:eastAsia="Calibri" w:hAnsi="Calibri"/>
          <w:sz w:val="22"/>
          <w:szCs w:val="22"/>
        </w:rPr>
        <w:t xml:space="preserve">Robert Lustig, MD — Metabolical</w:t>
      </w:r>
    </w:p>
    <w:p>
      <w:pPr>
        <w:pStyle w:val="ListParagraph"/>
        <w:numPr>
          <w:ilvl w:val="0"/>
          <w:numId w:val="2"/>
        </w:numPr>
        <w:spacing w:after="100" w:line="290"/>
      </w:pPr>
      <w:r>
        <w:rPr>
          <w:rFonts w:ascii="Calibri" w:cs="Calibri" w:eastAsia="Calibri" w:hAnsi="Calibri"/>
          <w:sz w:val="22"/>
          <w:szCs w:val="22"/>
        </w:rPr>
        <w:t xml:space="preserve">Vinay Prasad, MD — Malignant</w:t>
      </w:r>
    </w:p>
    <w:p>
      <w:pPr>
        <w:pStyle w:val="ListParagraph"/>
        <w:numPr>
          <w:ilvl w:val="0"/>
          <w:numId w:val="2"/>
        </w:numPr>
        <w:spacing w:after="100" w:line="290"/>
      </w:pPr>
      <w:r>
        <w:rPr>
          <w:rFonts w:ascii="Calibri" w:cs="Calibri" w:eastAsia="Calibri" w:hAnsi="Calibri"/>
          <w:sz w:val="22"/>
          <w:szCs w:val="22"/>
        </w:rPr>
        <w:t xml:space="preserve">Marty Makary, MD — Blind Spots</w:t>
      </w:r>
    </w:p>
    <w:p>
      <w:pPr>
        <w:pStyle w:val="Heading3"/>
        <w:spacing w:after="100" w:before="200"/>
      </w:pPr>
      <w:r>
        <w:rPr>
          <w:rFonts w:ascii="Georgia" w:cs="Georgia" w:eastAsia="Georgia" w:hAnsi="Georgia"/>
          <w:b/>
          <w:bCs/>
          <w:color w:val="222222"/>
          <w:sz w:val="24"/>
          <w:szCs w:val="24"/>
        </w:rPr>
        <w:t xml:space="preserve">Film &amp; TV</w:t>
      </w:r>
    </w:p>
    <w:p>
      <w:pPr>
        <w:spacing w:after="160" w:line="300"/>
        <w:jc w:val="left"/>
      </w:pPr>
      <w:r>
        <w:rPr>
          <w:rFonts w:ascii="Calibri" w:cs="Calibri" w:eastAsia="Calibri" w:hAnsi="Calibri"/>
          <w:sz w:val="22"/>
          <w:szCs w:val="22"/>
        </w:rPr>
        <w:t xml:space="preserve">The Alliance has been approached preliminarily about documentary and limited-series adaptations. Formal engagement of a film/lit agent or manager will follow the publishing deal, with the goal of an option agreement timed to the publisher's marketing calendar.</w:t>
      </w:r>
    </w:p>
    <w:p>
      <w:pPr>
        <w:pStyle w:val="Heading1"/>
        <w:pageBreakBefore/>
        <w:spacing w:after="200" w:before="240"/>
      </w:pPr>
      <w:r>
        <w:rPr>
          <w:rFonts w:ascii="Georgia" w:cs="Georgia" w:eastAsia="Georgia" w:hAnsi="Georgia"/>
          <w:b/>
          <w:bCs/>
          <w:color w:val="1E2761"/>
          <w:sz w:val="40"/>
          <w:szCs w:val="40"/>
        </w:rPr>
        <w:t xml:space="preserve">XI. Manuscript Status &amp; Specs</w:t>
      </w:r>
    </w:p>
    <w:p>
      <w:pPr>
        <w:pStyle w:val="ListParagraph"/>
        <w:numPr>
          <w:ilvl w:val="0"/>
          <w:numId w:val="2"/>
        </w:numPr>
        <w:spacing w:after="100" w:line="290"/>
      </w:pPr>
      <w:r>
        <w:rPr>
          <w:rFonts w:ascii="Calibri" w:cs="Calibri" w:eastAsia="Calibri" w:hAnsi="Calibri"/>
          <w:sz w:val="22"/>
          <w:szCs w:val="22"/>
        </w:rPr>
        <w:t xml:space="preserve">Status: Manuscript in final edit. Foreword and contributor sections approved.</w:t>
      </w:r>
    </w:p>
    <w:p>
      <w:pPr>
        <w:pStyle w:val="ListParagraph"/>
        <w:numPr>
          <w:ilvl w:val="0"/>
          <w:numId w:val="2"/>
        </w:numPr>
        <w:spacing w:after="100" w:line="290"/>
      </w:pPr>
      <w:r>
        <w:rPr>
          <w:rFonts w:ascii="Calibri" w:cs="Calibri" w:eastAsia="Calibri" w:hAnsi="Calibri"/>
          <w:sz w:val="22"/>
          <w:szCs w:val="22"/>
        </w:rPr>
        <w:t xml:space="preserve">Length: ~80,000 words</w:t>
      </w:r>
    </w:p>
    <w:p>
      <w:pPr>
        <w:pStyle w:val="ListParagraph"/>
        <w:numPr>
          <w:ilvl w:val="0"/>
          <w:numId w:val="2"/>
        </w:numPr>
        <w:spacing w:after="100" w:line="290"/>
      </w:pPr>
      <w:r>
        <w:rPr>
          <w:rFonts w:ascii="Calibri" w:cs="Calibri" w:eastAsia="Calibri" w:hAnsi="Calibri"/>
          <w:sz w:val="22"/>
          <w:szCs w:val="22"/>
        </w:rPr>
        <w:t xml:space="preserve">Structure: 10 chapters, three parts (The Door · The Machine · The Remedy)</w:t>
      </w:r>
    </w:p>
    <w:p>
      <w:pPr>
        <w:pStyle w:val="ListParagraph"/>
        <w:numPr>
          <w:ilvl w:val="0"/>
          <w:numId w:val="2"/>
        </w:numPr>
        <w:spacing w:after="100" w:line="290"/>
      </w:pPr>
      <w:r>
        <w:rPr>
          <w:rFonts w:ascii="Calibri" w:cs="Calibri" w:eastAsia="Calibri" w:hAnsi="Calibri"/>
          <w:sz w:val="22"/>
          <w:szCs w:val="22"/>
        </w:rPr>
        <w:t xml:space="preserve">Front matter: Foreword (TBD endorser), Author's Note, brief Alliance roster</w:t>
      </w:r>
    </w:p>
    <w:p>
      <w:pPr>
        <w:pStyle w:val="ListParagraph"/>
        <w:numPr>
          <w:ilvl w:val="0"/>
          <w:numId w:val="2"/>
        </w:numPr>
        <w:spacing w:after="100" w:line="290"/>
      </w:pPr>
      <w:r>
        <w:rPr>
          <w:rFonts w:ascii="Calibri" w:cs="Calibri" w:eastAsia="Calibri" w:hAnsi="Calibri"/>
          <w:sz w:val="22"/>
          <w:szCs w:val="22"/>
        </w:rPr>
        <w:t xml:space="preserve">Back matter: Notes (chapter-by-chapter citations), Sources &amp; Further Reading, Index, About the Alliance</w:t>
      </w:r>
    </w:p>
    <w:p>
      <w:pPr>
        <w:pStyle w:val="ListParagraph"/>
        <w:numPr>
          <w:ilvl w:val="0"/>
          <w:numId w:val="2"/>
        </w:numPr>
        <w:spacing w:after="100" w:line="290"/>
      </w:pPr>
      <w:r>
        <w:rPr>
          <w:rFonts w:ascii="Calibri" w:cs="Calibri" w:eastAsia="Calibri" w:hAnsi="Calibri"/>
          <w:sz w:val="22"/>
          <w:szCs w:val="22"/>
        </w:rPr>
        <w:t xml:space="preserve">Delivery to publisher: Within 60 days of contract signature</w:t>
      </w:r>
    </w:p>
    <w:p>
      <w:pPr>
        <w:pStyle w:val="ListParagraph"/>
        <w:numPr>
          <w:ilvl w:val="0"/>
          <w:numId w:val="2"/>
        </w:numPr>
        <w:spacing w:after="100" w:line="290"/>
      </w:pPr>
      <w:r>
        <w:rPr>
          <w:rFonts w:ascii="Calibri" w:cs="Calibri" w:eastAsia="Calibri" w:hAnsi="Calibri"/>
          <w:sz w:val="22"/>
          <w:szCs w:val="22"/>
        </w:rPr>
        <w:t xml:space="preserve">Photo / figure program: Minimal — no inserts required. Estimated 8–12 in-text figures (charts and document reproductions, all rights-cleared from public-record sources).</w:t>
      </w:r>
    </w:p>
    <w:p>
      <w:pPr>
        <w:pStyle w:val="ListParagraph"/>
        <w:numPr>
          <w:ilvl w:val="0"/>
          <w:numId w:val="2"/>
        </w:numPr>
        <w:spacing w:after="100" w:line="290"/>
      </w:pPr>
      <w:r>
        <w:rPr>
          <w:rFonts w:ascii="Calibri" w:cs="Calibri" w:eastAsia="Calibri" w:hAnsi="Calibri"/>
          <w:sz w:val="22"/>
          <w:szCs w:val="22"/>
        </w:rPr>
        <w:t xml:space="preserve">Audiobook: Author available to record. Pilot 30-second narration is live on the author site.</w:t>
      </w:r>
    </w:p>
    <w:p>
      <w:pPr>
        <w:pStyle w:val="ListParagraph"/>
        <w:numPr>
          <w:ilvl w:val="0"/>
          <w:numId w:val="2"/>
        </w:numPr>
        <w:spacing w:after="100" w:line="290"/>
      </w:pPr>
      <w:r>
        <w:rPr>
          <w:rFonts w:ascii="Calibri" w:cs="Calibri" w:eastAsia="Calibri" w:hAnsi="Calibri"/>
          <w:sz w:val="22"/>
          <w:szCs w:val="22"/>
        </w:rPr>
        <w:t xml:space="preserve">Territory: World rights available</w:t>
      </w:r>
    </w:p>
    <w:p>
      <w:pPr>
        <w:pStyle w:val="ListParagraph"/>
        <w:numPr>
          <w:ilvl w:val="0"/>
          <w:numId w:val="2"/>
        </w:numPr>
        <w:spacing w:after="100" w:line="290"/>
      </w:pPr>
      <w:r>
        <w:rPr>
          <w:rFonts w:ascii="Calibri" w:cs="Calibri" w:eastAsia="Calibri" w:hAnsi="Calibri"/>
          <w:sz w:val="22"/>
          <w:szCs w:val="22"/>
        </w:rPr>
        <w:t xml:space="preserve">Translation: Spanish, German, Japanese, and Mandarin identified as priority markets given comparable-title performance</w:t>
      </w:r>
    </w:p>
    <w:p>
      <w:pPr>
        <w:pStyle w:val="Heading1"/>
        <w:pageBreakBefore/>
        <w:spacing w:after="200" w:before="240"/>
      </w:pPr>
      <w:r>
        <w:rPr>
          <w:rFonts w:ascii="Georgia" w:cs="Georgia" w:eastAsia="Georgia" w:hAnsi="Georgia"/>
          <w:b/>
          <w:bCs/>
          <w:color w:val="1E2761"/>
          <w:sz w:val="40"/>
          <w:szCs w:val="40"/>
        </w:rPr>
        <w:t xml:space="preserve">XII. Annotated Chapter Outline</w:t>
      </w:r>
    </w:p>
    <w:p>
      <w:pPr>
        <w:spacing w:after="60" w:before="40"/>
      </w:pPr>
      <w:r>
        <w:rPr>
          <w:rFonts w:ascii="Calibri" w:cs="Calibri" w:eastAsia="Calibri" w:hAnsi="Calibri"/>
          <w:b/>
          <w:bCs/>
          <w:color w:val="1E2761"/>
          <w:spacing w:val="40"/>
          <w:sz w:val="18"/>
          <w:szCs w:val="18"/>
        </w:rPr>
        <w:t xml:space="preserve">PART ONE — THE DOOR</w:t>
      </w:r>
    </w:p>
    <w:p>
      <w:pPr>
        <w:pStyle w:val="Heading3"/>
        <w:spacing w:after="100" w:before="200"/>
      </w:pPr>
      <w:r>
        <w:rPr>
          <w:rFonts w:ascii="Georgia" w:cs="Georgia" w:eastAsia="Georgia" w:hAnsi="Georgia"/>
          <w:b/>
          <w:bCs/>
          <w:color w:val="222222"/>
          <w:sz w:val="24"/>
          <w:szCs w:val="24"/>
        </w:rPr>
        <w:t xml:space="preserve">Chapter 1. The Convergence</w:t>
      </w:r>
    </w:p>
    <w:p>
      <w:pPr>
        <w:spacing w:after="160" w:line="300"/>
        <w:jc w:val="left"/>
      </w:pPr>
      <w:r>
        <w:rPr>
          <w:rFonts w:ascii="Calibri" w:cs="Calibri" w:eastAsia="Calibri" w:hAnsi="Calibri"/>
          <w:sz w:val="22"/>
          <w:szCs w:val="22"/>
        </w:rPr>
        <w:t xml:space="preserve">Why this moment — and not any of the last fifty — is the first real chance to walk through a different door. Opens with a single patient scene from a Southern California chiropractic clinic in late 2025: a 47-year-old father, three prescriptions deep, asking the question that drives the rest of the book. Then pulls back to map the three convergences — regenerative biology becoming clinical, computational infrastructure becoming cheap, and public trust collapsing — that make this book possible at all.</w:t>
      </w:r>
    </w:p>
    <w:p>
      <w:pPr>
        <w:spacing w:after="60" w:before="40"/>
      </w:pPr>
      <w:r>
        <w:rPr>
          <w:rFonts w:ascii="Calibri" w:cs="Calibri" w:eastAsia="Calibri" w:hAnsi="Calibri"/>
          <w:b/>
          <w:bCs/>
          <w:color w:val="1E2761"/>
          <w:spacing w:val="40"/>
          <w:sz w:val="18"/>
          <w:szCs w:val="18"/>
        </w:rPr>
        <w:t xml:space="preserve">PART TWO — THE MACHINE</w:t>
      </w:r>
    </w:p>
    <w:p>
      <w:pPr>
        <w:pStyle w:val="Heading3"/>
        <w:spacing w:after="100" w:before="200"/>
      </w:pPr>
      <w:r>
        <w:rPr>
          <w:rFonts w:ascii="Georgia" w:cs="Georgia" w:eastAsia="Georgia" w:hAnsi="Georgia"/>
          <w:b/>
          <w:bCs/>
          <w:color w:val="222222"/>
          <w:sz w:val="24"/>
          <w:szCs w:val="24"/>
        </w:rPr>
        <w:t xml:space="preserve">Chapter 2. The Children's Health Epidemic</w:t>
      </w:r>
    </w:p>
    <w:p>
      <w:pPr>
        <w:spacing w:after="160" w:line="300"/>
        <w:jc w:val="left"/>
      </w:pPr>
      <w:r>
        <w:rPr>
          <w:rFonts w:ascii="Calibri" w:cs="Calibri" w:eastAsia="Calibri" w:hAnsi="Calibri"/>
          <w:sz w:val="22"/>
          <w:szCs w:val="22"/>
        </w:rPr>
        <w:t xml:space="preserve">The most defensible empirical claim in modern public health: today's children are the first U.S. generation projected to live shorter lives than their parents. This chapter walks the data — NHANES, CDC, AAP — and then asks the uncomfortable question every parent already feels: if this is true, who profits from it staying true? Sets up the rest of Part Two.</w:t>
      </w:r>
    </w:p>
    <w:p>
      <w:pPr>
        <w:pStyle w:val="Heading3"/>
        <w:spacing w:after="100" w:before="200"/>
      </w:pPr>
      <w:r>
        <w:rPr>
          <w:rFonts w:ascii="Georgia" w:cs="Georgia" w:eastAsia="Georgia" w:hAnsi="Georgia"/>
          <w:b/>
          <w:bCs/>
          <w:color w:val="222222"/>
          <w:sz w:val="24"/>
          <w:szCs w:val="24"/>
        </w:rPr>
        <w:t xml:space="preserve">Chapter 3. Three Generations of Dietary Guidance</w:t>
      </w:r>
    </w:p>
    <w:p>
      <w:pPr>
        <w:spacing w:after="160" w:line="300"/>
        <w:jc w:val="left"/>
      </w:pPr>
      <w:r>
        <w:rPr>
          <w:rFonts w:ascii="Calibri" w:cs="Calibri" w:eastAsia="Calibri" w:hAnsi="Calibri"/>
          <w:sz w:val="22"/>
          <w:szCs w:val="22"/>
        </w:rPr>
        <w:t xml:space="preserve">Half a century of official dietary advice produced more obesity, more diabetes, and more cardiovascular death — not less. This chapter reconstructs how the 1977 McGovern Report, the food pyramid, the low-fat era, and the MyPlate revision happened, who funded each successive committee, and why every "update" rearranged deck chairs while the underlying premise — that nutrition is a matter of macros to be balanced rather than a matter of food to be eaten — went unchallenged.</w:t>
      </w:r>
    </w:p>
    <w:p>
      <w:pPr>
        <w:pStyle w:val="Heading3"/>
        <w:spacing w:after="100" w:before="200"/>
      </w:pPr>
      <w:r>
        <w:rPr>
          <w:rFonts w:ascii="Georgia" w:cs="Georgia" w:eastAsia="Georgia" w:hAnsi="Georgia"/>
          <w:b/>
          <w:bCs/>
          <w:color w:val="222222"/>
          <w:sz w:val="24"/>
          <w:szCs w:val="24"/>
        </w:rPr>
        <w:t xml:space="preserve">Chapter 4. Ultra-Processed Food</w:t>
      </w:r>
    </w:p>
    <w:p>
      <w:pPr>
        <w:spacing w:after="160" w:line="300"/>
        <w:jc w:val="left"/>
      </w:pPr>
      <w:r>
        <w:rPr>
          <w:rFonts w:ascii="Calibri" w:cs="Calibri" w:eastAsia="Calibri" w:hAnsi="Calibri"/>
          <w:sz w:val="22"/>
          <w:szCs w:val="22"/>
        </w:rPr>
        <w:t xml:space="preserve">A reported chapter on the engineering of products designed to override satiety. Builds on Moss and Kessler with newer NOVA-classification research and primary interviews with two former food-science executives now inside the Alliance. The argument: at a certain level of processing, the substance ceases to be food in any operational sense and becomes a consumer product engineered for repeat purchase. Treats this as a regulatory and definitional failure, not a personal-willpower problem.</w:t>
      </w:r>
    </w:p>
    <w:p>
      <w:pPr>
        <w:pStyle w:val="Heading3"/>
        <w:spacing w:after="100" w:before="200"/>
      </w:pPr>
      <w:r>
        <w:rPr>
          <w:rFonts w:ascii="Georgia" w:cs="Georgia" w:eastAsia="Georgia" w:hAnsi="Georgia"/>
          <w:b/>
          <w:bCs/>
          <w:color w:val="222222"/>
          <w:sz w:val="24"/>
          <w:szCs w:val="24"/>
        </w:rPr>
        <w:t xml:space="preserve">Chapter 5. The Chemistry of the Modern Home</w:t>
      </w:r>
    </w:p>
    <w:p>
      <w:pPr>
        <w:spacing w:after="160" w:line="300"/>
        <w:jc w:val="left"/>
      </w:pPr>
      <w:r>
        <w:rPr>
          <w:rFonts w:ascii="Calibri" w:cs="Calibri" w:eastAsia="Calibri" w:hAnsi="Calibri"/>
          <w:sz w:val="22"/>
          <w:szCs w:val="22"/>
        </w:rPr>
        <w:t xml:space="preserve">PFAS in cookware, flame retardants in upholstery, plasticizers in personal care, microplastics in dust. The chapter walks through the half-dozen exposures with the strongest mechanistic case for endocrine and metabolic harm, names the regulatory gaps (TSCA, FIFRA, the cosmetic carve-out), and gives the reader a defensible household audit they can actually run.</w:t>
      </w:r>
    </w:p>
    <w:p>
      <w:pPr>
        <w:pStyle w:val="Heading3"/>
        <w:spacing w:after="100" w:before="200"/>
      </w:pPr>
      <w:r>
        <w:rPr>
          <w:rFonts w:ascii="Georgia" w:cs="Georgia" w:eastAsia="Georgia" w:hAnsi="Georgia"/>
          <w:b/>
          <w:bCs/>
          <w:color w:val="222222"/>
          <w:sz w:val="24"/>
          <w:szCs w:val="24"/>
        </w:rPr>
        <w:t xml:space="preserve">Chapter 6. The GRAS Loophole</w:t>
      </w:r>
    </w:p>
    <w:p>
      <w:pPr>
        <w:spacing w:after="160" w:line="300"/>
        <w:jc w:val="left"/>
      </w:pPr>
      <w:r>
        <w:rPr>
          <w:rFonts w:ascii="Calibri" w:cs="Calibri" w:eastAsia="Calibri" w:hAnsi="Calibri"/>
          <w:sz w:val="22"/>
          <w:szCs w:val="22"/>
        </w:rPr>
        <w:t xml:space="preserve">The book's single most reportorial chapter. Walks the reader through Generally Recognized as Safe self-affirmation — a Cold War–era shortcut that allows companies to clear their own ingredients without ever opening an FDA file. Reconstructs the loophole from primary documents and shows, with named examples, how a substance can move from a manufacturer's desk to a child's breakfast cereal without a single independent regulator reviewing it. This is the chapter the publisher will pitch to 60 Minutes.</w:t>
      </w:r>
    </w:p>
    <w:p>
      <w:pPr>
        <w:pStyle w:val="Heading3"/>
        <w:spacing w:after="100" w:before="200"/>
      </w:pPr>
      <w:r>
        <w:rPr>
          <w:rFonts w:ascii="Georgia" w:cs="Georgia" w:eastAsia="Georgia" w:hAnsi="Georgia"/>
          <w:b/>
          <w:bCs/>
          <w:color w:val="222222"/>
          <w:sz w:val="24"/>
          <w:szCs w:val="24"/>
        </w:rPr>
        <w:t xml:space="preserve">Chapter 7. A System That Profits from Illness</w:t>
      </w:r>
    </w:p>
    <w:p>
      <w:pPr>
        <w:spacing w:after="160" w:line="300"/>
        <w:jc w:val="left"/>
      </w:pPr>
      <w:r>
        <w:rPr>
          <w:rFonts w:ascii="Calibri" w:cs="Calibri" w:eastAsia="Calibri" w:hAnsi="Calibri"/>
          <w:sz w:val="22"/>
          <w:szCs w:val="22"/>
        </w:rPr>
        <w:t xml:space="preserve">The economic spine of the book. Maps the chronic-disease economy — pharmaceutical revenue tied to lifelong management, hospital margins, insurer incentive structures, employer wellness theater — and asks the simple question: if chronic disease were cured tomorrow, who would lose the most? Follows that money through the lobbying, advisory, and regulatory layers and shows why every well-intentioned reform breaks against the same wall.</w:t>
      </w:r>
    </w:p>
    <w:p>
      <w:pPr>
        <w:spacing w:after="60" w:before="40"/>
      </w:pPr>
      <w:r>
        <w:rPr>
          <w:rFonts w:ascii="Calibri" w:cs="Calibri" w:eastAsia="Calibri" w:hAnsi="Calibri"/>
          <w:b/>
          <w:bCs/>
          <w:color w:val="1E2761"/>
          <w:spacing w:val="40"/>
          <w:sz w:val="18"/>
          <w:szCs w:val="18"/>
        </w:rPr>
        <w:t xml:space="preserve">PART THREE — THE REMEDY</w:t>
      </w:r>
    </w:p>
    <w:p>
      <w:pPr>
        <w:pStyle w:val="Heading3"/>
        <w:spacing w:after="100" w:before="200"/>
      </w:pPr>
      <w:r>
        <w:rPr>
          <w:rFonts w:ascii="Georgia" w:cs="Georgia" w:eastAsia="Georgia" w:hAnsi="Georgia"/>
          <w:b/>
          <w:bCs/>
          <w:color w:val="222222"/>
          <w:sz w:val="24"/>
          <w:szCs w:val="24"/>
        </w:rPr>
        <w:t xml:space="preserve">Chapter 8. The Counter-Protocol</w:t>
      </w:r>
    </w:p>
    <w:p>
      <w:pPr>
        <w:spacing w:after="160" w:line="300"/>
        <w:jc w:val="left"/>
      </w:pPr>
      <w:r>
        <w:rPr>
          <w:rFonts w:ascii="Calibri" w:cs="Calibri" w:eastAsia="Calibri" w:hAnsi="Calibri"/>
          <w:sz w:val="22"/>
          <w:szCs w:val="22"/>
        </w:rPr>
        <w:t xml:space="preserve">What measurably changes — in weeks, not years — when the body is finally given a fair chance to repair. Lays out the food, movement, sleep, light, and exposure-removal interventions that produce reliable, measurable improvement in metabolic markers within a 90-day window. Cites the Alliance practitioners' own outcome data and the published literature, and is careful to frame each intervention as a doorway rather than a prescription.</w:t>
      </w:r>
    </w:p>
    <w:p>
      <w:pPr>
        <w:pStyle w:val="Heading3"/>
        <w:spacing w:after="100" w:before="200"/>
      </w:pPr>
      <w:r>
        <w:rPr>
          <w:rFonts w:ascii="Georgia" w:cs="Georgia" w:eastAsia="Georgia" w:hAnsi="Georgia"/>
          <w:b/>
          <w:bCs/>
          <w:color w:val="222222"/>
          <w:sz w:val="24"/>
          <w:szCs w:val="24"/>
        </w:rPr>
        <w:t xml:space="preserve">Chapter 9. The Ceiling</w:t>
      </w:r>
    </w:p>
    <w:p>
      <w:pPr>
        <w:spacing w:after="160" w:line="300"/>
        <w:jc w:val="left"/>
      </w:pPr>
      <w:r>
        <w:rPr>
          <w:rFonts w:ascii="Calibri" w:cs="Calibri" w:eastAsia="Calibri" w:hAnsi="Calibri"/>
          <w:sz w:val="22"/>
          <w:szCs w:val="22"/>
        </w:rPr>
        <w:t xml:space="preserve">Food, movement, sleep, and exposure removal will take a reader most of the way. The ceiling above that is regenerative and bioelectric medicine — stem-cell therapies, peptides, targeted electrical stimulation — that is no longer hypothetical. This chapter is co-developed with Dr. Howard Leonhardt and contains the manuscript's most carefully sourced clinical material. It frames the ceiling honestly: what is real, what is overhyped, and what is finally close enough to matter.</w:t>
      </w:r>
    </w:p>
    <w:p>
      <w:pPr>
        <w:pStyle w:val="Heading3"/>
        <w:spacing w:after="100" w:before="200"/>
      </w:pPr>
      <w:r>
        <w:rPr>
          <w:rFonts w:ascii="Georgia" w:cs="Georgia" w:eastAsia="Georgia" w:hAnsi="Georgia"/>
          <w:b/>
          <w:bCs/>
          <w:color w:val="222222"/>
          <w:sz w:val="24"/>
          <w:szCs w:val="24"/>
        </w:rPr>
        <w:t xml:space="preserve">Chapter 10. The Highway</w:t>
      </w:r>
    </w:p>
    <w:p>
      <w:pPr>
        <w:spacing w:after="160" w:line="300"/>
        <w:jc w:val="left"/>
      </w:pPr>
      <w:r>
        <w:rPr>
          <w:rFonts w:ascii="Calibri" w:cs="Calibri" w:eastAsia="Calibri" w:hAnsi="Calibri"/>
          <w:sz w:val="22"/>
          <w:szCs w:val="22"/>
        </w:rPr>
        <w:t xml:space="preserve">The chapter every longevity book skips. How does any of this actually reach an ordinary person — not a wealthy concierge-medicine patient, not a biohacker, not someone with a clinician in the family? The answer is infrastructure: the Phenomenal Longevity Alliance and its delivery layer, ATLAS Power Networks. The chapter describes the operating layer in plain language — consent, identity, audited records, practitioner network, member onboarding — and ends by handing the reader the door it has spent the previous nine chapters earning the right to open.</w:t>
      </w:r>
    </w:p>
    <w:p>
      <w:pPr>
        <w:pStyle w:val="Heading1"/>
        <w:pageBreakBefore/>
        <w:spacing w:after="200" w:before="240"/>
      </w:pPr>
      <w:r>
        <w:rPr>
          <w:rFonts w:ascii="Georgia" w:cs="Georgia" w:eastAsia="Georgia" w:hAnsi="Georgia"/>
          <w:b/>
          <w:bCs/>
          <w:color w:val="1E2761"/>
          <w:sz w:val="40"/>
          <w:szCs w:val="40"/>
        </w:rPr>
        <w:t xml:space="preserve">XIII. Sample Chapter</w:t>
      </w:r>
    </w:p>
    <w:p>
      <w:pPr>
        <w:spacing w:after="60" w:before="40"/>
      </w:pPr>
      <w:r>
        <w:rPr>
          <w:rFonts w:ascii="Calibri" w:cs="Calibri" w:eastAsia="Calibri" w:hAnsi="Calibri"/>
          <w:b/>
          <w:bCs/>
          <w:color w:val="1E2761"/>
          <w:spacing w:val="40"/>
          <w:sz w:val="18"/>
          <w:szCs w:val="18"/>
        </w:rPr>
        <w:t xml:space="preserve">PART ONE — CHAPTER 1</w:t>
      </w:r>
    </w:p>
    <w:p>
      <w:pPr>
        <w:spacing w:after="200"/>
        <w:jc w:val="left"/>
      </w:pPr>
      <w:r>
        <w:rPr>
          <w:rFonts w:ascii="Georgia" w:cs="Georgia" w:eastAsia="Georgia" w:hAnsi="Georgia"/>
          <w:b/>
          <w:bCs/>
          <w:color w:val="1E2761"/>
          <w:sz w:val="36"/>
          <w:szCs w:val="36"/>
        </w:rPr>
        <w:t xml:space="preserve">The Convergence</w:t>
      </w:r>
    </w:p>
    <w:p>
      <w:pPr>
        <w:spacing w:after="160" w:line="300"/>
        <w:jc w:val="left"/>
      </w:pPr>
      <w:r>
        <w:rPr>
          <w:rFonts w:ascii="Calibri" w:cs="Calibri" w:eastAsia="Calibri" w:hAnsi="Calibri"/>
          <w:i/>
          <w:iCs/>
          <w:sz w:val="22"/>
          <w:szCs w:val="22"/>
        </w:rPr>
        <w:t xml:space="preserve">The first thing a man asks when he sits down across from you in a clinic at four in the afternoon is not the question he came in to ask. He asks something easier. He asks how long the drive was, or how parking is on a Tuesday, or whether the receptionist always wears that color. He is buying himself a minute to decide whether the room is safe enough to put the real question into it.</w:t>
      </w:r>
    </w:p>
    <w:p>
      <w:pPr>
        <w:spacing w:after="160" w:line="300"/>
        <w:jc w:val="left"/>
      </w:pPr>
      <w:r>
        <w:rPr>
          <w:rFonts w:ascii="Calibri" w:cs="Calibri" w:eastAsia="Calibri" w:hAnsi="Calibri"/>
          <w:i/>
          <w:iCs/>
          <w:sz w:val="22"/>
          <w:szCs w:val="22"/>
        </w:rPr>
        <w:t xml:space="preserve">I have watched this happen for twenty-three years. The order of the questions never changes. The real question, when it finally comes, is almost always the same one, and it is almost always asked the same way, which is quietly, with both hands flat on the knees, eyes on a point somewhere on the floor between the patient's shoes and mine.</w:t>
      </w:r>
    </w:p>
    <w:p>
      <w:pPr>
        <w:spacing w:after="160" w:line="300"/>
        <w:jc w:val="left"/>
      </w:pPr>
      <w:r>
        <w:rPr>
          <w:rFonts w:ascii="Calibri" w:cs="Calibri" w:eastAsia="Calibri" w:hAnsi="Calibri"/>
          <w:i/>
          <w:iCs/>
          <w:sz w:val="22"/>
          <w:szCs w:val="22"/>
        </w:rPr>
        <w:t xml:space="preserve">The real question is: Is this it?</w:t>
      </w:r>
    </w:p>
    <w:p>
      <w:pPr>
        <w:spacing w:after="160" w:line="300"/>
        <w:jc w:val="left"/>
      </w:pPr>
      <w:r>
        <w:rPr>
          <w:rFonts w:ascii="Calibri" w:cs="Calibri" w:eastAsia="Calibri" w:hAnsi="Calibri"/>
          <w:sz w:val="22"/>
          <w:szCs w:val="22"/>
        </w:rPr>
        <w:t xml:space="preserve">On a Tuesday afternoon in late autumn 2025, in a chiropractic clinic on a coastal stretch of Southern California where the late light comes in low and orange through the parking-lot palms, a forty-seven-year-old father of two named David asked me that question. He had a folder in his lap. The folder held three pharmacy printouts, a recent labs panel, and a referral note from a primary-care physician he had stopped trusting around the third refill. He had been told, in order, that he had pre-diabetes, that his blood pressure required medication for life, and that his cholesterol numbers suggested a statin he should not stop taking, ever. He was forty-seven. He had taken the kids to soccer that morning. He looked tired in a way that had nothing to do with sleep.</w:t>
      </w:r>
    </w:p>
    <w:p>
      <w:pPr>
        <w:spacing w:after="160" w:line="300"/>
        <w:jc w:val="left"/>
      </w:pPr>
      <w:r>
        <w:rPr>
          <w:rFonts w:ascii="Calibri" w:cs="Calibri" w:eastAsia="Calibri" w:hAnsi="Calibri"/>
          <w:sz w:val="22"/>
          <w:szCs w:val="22"/>
        </w:rPr>
        <w:t xml:space="preserve">He asked the question and then waited for me to say what people in my position usually say, which is some version of: well, here is one more thing to try. He had heard that answer enough times to know exactly how it would land in his chest.</w:t>
      </w:r>
    </w:p>
    <w:p>
      <w:pPr>
        <w:spacing w:after="160" w:line="300"/>
        <w:jc w:val="left"/>
      </w:pPr>
      <w:r>
        <w:rPr>
          <w:rFonts w:ascii="Calibri" w:cs="Calibri" w:eastAsia="Calibri" w:hAnsi="Calibri"/>
          <w:sz w:val="22"/>
          <w:szCs w:val="22"/>
        </w:rPr>
        <w:t xml:space="preserve">I did not say it. I asked him, instead, whether he had ten minutes. I told him I wanted to walk him through three things that had happened in the previous thirty-six months — not in his clinic, not in his town, but in the wider world of what is possible for a body like his — and that if at the end of those ten minutes he still wanted to take one more thing and try it, I would help him pick the right one. But that I suspected, by minute eight, he would not want to.</w:t>
      </w:r>
    </w:p>
    <w:p>
      <w:pPr>
        <w:spacing w:after="160" w:line="300"/>
        <w:jc w:val="left"/>
      </w:pPr>
      <w:r>
        <w:rPr>
          <w:rFonts w:ascii="Calibri" w:cs="Calibri" w:eastAsia="Calibri" w:hAnsi="Calibri"/>
          <w:sz w:val="22"/>
          <w:szCs w:val="22"/>
        </w:rPr>
        <w:t xml:space="preserve">This book is a longer version of those ten minutes.</w:t>
      </w:r>
    </w:p>
    <w:p>
      <w:pPr>
        <w:spacing w:after="160" w:line="300"/>
        <w:jc w:val="left"/>
      </w:pPr>
      <w:r>
        <w:rPr>
          <w:rFonts w:ascii="Calibri" w:cs="Calibri" w:eastAsia="Calibri" w:hAnsi="Calibri"/>
          <w:sz w:val="22"/>
          <w:szCs w:val="22"/>
        </w:rPr>
        <w:t xml:space="preserve">For most of the last fifty years, the honest answer to David's question was, in fact, yes. This was it. Not because the human body had stopped being repairable; the body had not changed. But because the system that surrounded the body — the agencies that defined what counted as food, the industries that filled the shelves, the chemical inventories no one was auditing, the insurance structures that paid for management rather than repair, and the regulatory shortcuts that allowed all of it to compound, decade after decade — had grown into a machine so large and so self-reinforcing that the question of what an ordinary person could do about any of it had a single, depressing answer. You could opt out at the margins. You could buy slightly better food. You could read a book and try to sleep more. But the door out of the larger system — the door to something genuinely different — was not actually there. Not for someone like David. Not in any operational sense.</w:t>
      </w:r>
    </w:p>
    <w:p>
      <w:pPr>
        <w:spacing w:after="160" w:line="300"/>
        <w:jc w:val="left"/>
      </w:pPr>
      <w:r>
        <w:rPr>
          <w:rFonts w:ascii="Calibri" w:cs="Calibri" w:eastAsia="Calibri" w:hAnsi="Calibri"/>
          <w:sz w:val="22"/>
          <w:szCs w:val="22"/>
        </w:rPr>
        <w:t xml:space="preserve">Three things changed that, and they changed it inside the last thirty-six months. They are the reason this book exists. They are the reason David, on a Tuesday afternoon in late autumn, was going to leave my clinic with something he had not walked in carrying, which was a map.</w:t>
      </w:r>
    </w:p>
    <w:p>
      <w:pPr>
        <w:spacing w:after="160" w:line="300"/>
        <w:jc w:val="left"/>
      </w:pPr>
      <w:r>
        <w:rPr>
          <w:rFonts w:ascii="Calibri" w:cs="Calibri" w:eastAsia="Calibri" w:hAnsi="Calibri"/>
          <w:sz w:val="22"/>
          <w:szCs w:val="22"/>
        </w:rPr>
        <w:t xml:space="preserve">The first change was scientific. Somewhere between the spring of 2022 and the spring of 2025, a cluster of interventions that the longevity literature had been describing for two decades as "promising" or "emerging" or "five to ten years away" stopped being any of those things and became, simply, available. Mesenchymal stem-cell therapies for specific orthopedic and inflammatory indications crossed out of the protocol stage and into clinics that real patients could walk into without a private jet. Targeted peptide therapeutics with serious mechanistic backing — not the supplement-aisle kind — found practitioners willing to prescribe and monitor them under real supervision. Bioelectric stimulation protocols for tissue repair, the kind Dr. Howard Leonhardt and the team at Lionheart Longevity have spent thirty years developing, reached the point where outcomes were being measured in weeks instead of being promised in decades. None of this was a miracle. All of it was the predictable result of a long arc of biology finally arriving at clinical reality. But the cumulative effect, for the first time in any reader's adult life, was a genuine ceiling lift. The body of work the longevity shelf had been describing as the future was now, suddenly, the present.</w:t>
      </w:r>
    </w:p>
    <w:p>
      <w:pPr>
        <w:spacing w:after="160" w:line="300"/>
        <w:jc w:val="left"/>
      </w:pPr>
      <w:r>
        <w:rPr>
          <w:rFonts w:ascii="Calibri" w:cs="Calibri" w:eastAsia="Calibri" w:hAnsi="Calibri"/>
          <w:sz w:val="22"/>
          <w:szCs w:val="22"/>
        </w:rPr>
        <w:t xml:space="preserve">The second change was infrastructural. For most of the same fifty years, the bottleneck on any health intervention reaching an ordinary person was not the intervention itself. It was the operational layer underneath it — the paperwork, the consent, the identity verification, the records that had to follow the patient between providers, the audit trail that made any of it defensible if something went wrong. That layer was, until very recently, prohibitively expensive to build outside of the major hospital systems. Which meant that any breakthrough that emerged outside of those systems had nowhere to land. It would surface at a conference. It would become a podcast episode. It would be written up by a journalist. And then it would disappear, not because it was wrong, but because no one had built the rails that would carry it to the kitchen tables of people like David. That changed when computational infrastructure became cheap enough, and trustworthy enough, that a small alliance of practitioners and operators could build the missing layer themselves. It is the reason the Phenomenal Longevity Alliance exists. It is the reason ATLAS Power Networks, the infrastructure partner whose work this book describes in detail, was able to construct an audited, consent-based delivery layer that does not depend on any hospital system's permission to function. The rails are now there. That is new.</w:t>
      </w:r>
    </w:p>
    <w:p>
      <w:pPr>
        <w:spacing w:after="160" w:line="300"/>
        <w:jc w:val="left"/>
      </w:pPr>
      <w:r>
        <w:rPr>
          <w:rFonts w:ascii="Calibri" w:cs="Calibri" w:eastAsia="Calibri" w:hAnsi="Calibri"/>
          <w:sz w:val="22"/>
          <w:szCs w:val="22"/>
        </w:rPr>
        <w:t xml:space="preserve">The third change was cultural, and it is the one most readers of this book have already felt in their own lives. Trust in the conventional medical and regulatory apparatus collapsed, in a sustained and measurable way, between 2020 and 2024. The Pew, Gallup, and Edelman surveys all tell the same story: by the middle of the decade, fewer Americans trusted the FDA, the CDC, and the broader public-health establishment than at any point since polling on those questions began. This is a fact about the audience for this book. Five years ago, a man like David would have arrived in my clinic with a residual willingness to give the system one more chance. By late 2025, he arrived already done. He was not done with health. He was done with being managed. He was looking for a door, and he had decided, before he sat down, that he was going to walk through whichever door was opened to him next, provided it was opened honestly.</w:t>
      </w:r>
    </w:p>
    <w:p>
      <w:pPr>
        <w:spacing w:after="160" w:line="300"/>
        <w:jc w:val="left"/>
      </w:pPr>
      <w:r>
        <w:rPr>
          <w:rFonts w:ascii="Calibri" w:cs="Calibri" w:eastAsia="Calibri" w:hAnsi="Calibri"/>
          <w:sz w:val="22"/>
          <w:szCs w:val="22"/>
        </w:rPr>
        <w:t xml:space="preserve">Those three changes — a real ceiling lift in the science, a real delivery layer in the infrastructure, and a real audience that has finished waiting — are the convergence in the title of this chapter. They are also the reason that the rest of this book can do something the longevity shelf has not been able to do until now. It can describe the machine honestly, without flinching. It can describe the remedy honestly, without overpromising. And it can hand the reader, at the end, an operational door — a place to go, named people standing on the other side of it — that is not a metaphor.</w:t>
      </w:r>
    </w:p>
    <w:p>
      <w:pPr>
        <w:spacing w:after="160" w:line="300"/>
        <w:jc w:val="left"/>
      </w:pPr>
      <w:r>
        <w:rPr>
          <w:rFonts w:ascii="Calibri" w:cs="Calibri" w:eastAsia="Calibri" w:hAnsi="Calibri"/>
          <w:sz w:val="22"/>
          <w:szCs w:val="22"/>
        </w:rPr>
        <w:t xml:space="preserve">We will get to all of that. But first, in the next six chapters, we have to take the machine apart. We have to look at how dietary guidance failed, how processed food was engineered, what is in the cookware and the couches, how the GRAS loophole quietly lets companies clear their own ingredients, and what an economy that depends on chronic disease for its margins actually looks like under the hood. That is Part Two. It is the longest and the hardest part of the book. The reader who finishes it will understand exactly why nothing has worked. The reader who continues into Part Three will understand, for the first time, exactly what to do about it.</w:t>
      </w:r>
    </w:p>
    <w:p>
      <w:pPr>
        <w:spacing w:after="160" w:line="300"/>
        <w:jc w:val="left"/>
      </w:pPr>
      <w:r>
        <w:rPr>
          <w:rFonts w:ascii="Calibri" w:cs="Calibri" w:eastAsia="Calibri" w:hAnsi="Calibri"/>
          <w:sz w:val="22"/>
          <w:szCs w:val="22"/>
        </w:rPr>
        <w:t xml:space="preserve">On the Tuesday afternoon David came to see me, I did not have a book to hand him. I had only the ten minutes, and the map I drew on the back of his lab report. By the time I finished drawing, the late light through the parking-lot palms had gone from orange to the dusty pink that signals the end of a clinic day in that part of California. David sat with the map for a while. Then he put the three pharmacy printouts back in the folder, in a different order than they had been when he arrived. He stood up. He told me he would see me in two weeks.</w:t>
      </w:r>
    </w:p>
    <w:p>
      <w:pPr>
        <w:spacing w:after="160" w:line="300"/>
        <w:jc w:val="left"/>
      </w:pPr>
      <w:r>
        <w:rPr>
          <w:rFonts w:ascii="Calibri" w:cs="Calibri" w:eastAsia="Calibri" w:hAnsi="Calibri"/>
          <w:sz w:val="22"/>
          <w:szCs w:val="22"/>
        </w:rPr>
        <w:t xml:space="preserve">He did not ask whether this was it. He had stopped asking the question. He had, instead, found the door.</w:t>
      </w:r>
    </w:p>
    <w:p>
      <w:pPr>
        <w:spacing w:after="160" w:line="300"/>
        <w:jc w:val="left"/>
      </w:pPr>
      <w:r>
        <w:rPr>
          <w:rFonts w:ascii="Calibri" w:cs="Calibri" w:eastAsia="Calibri" w:hAnsi="Calibri"/>
          <w:sz w:val="22"/>
          <w:szCs w:val="22"/>
        </w:rPr>
        <w:t xml:space="preserve">This book is for everyone who has not yet found theirs.</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5A6472"/>
        <w:sz w:val="18"/>
        <w:szCs w:val="18"/>
      </w:rPr>
      <w:t xml:space="preserve">SIC  ·  Book Proposal  ·  Steven A. Hunt, MBA  ·  Page </w:t>
    </w:r>
    <w:r>
      <w:rPr>
        <w:rFonts w:ascii="Calibri" w:cs="Calibri" w:eastAsia="Calibri" w:hAnsi="Calibri"/>
        <w:color w:val="5A6472"/>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7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240"/>
      <w:outlineLvl w:val="0"/>
    </w:pPr>
    <w:rPr>
      <w:rFonts w:ascii="Georgia" w:cs="Georgia" w:eastAsia="Georgia" w:hAnsi="Georgia"/>
      <w:b/>
      <w:bCs/>
      <w:color w:val="1E2761"/>
      <w:sz w:val="40"/>
      <w:szCs w:val="40"/>
    </w:rPr>
  </w:style>
  <w:style w:type="paragraph" w:styleId="Heading2">
    <w:name w:val="Heading 2"/>
    <w:basedOn w:val="Normal"/>
    <w:next w:val="Normal"/>
    <w:qFormat/>
    <w:pPr>
      <w:spacing w:after="140" w:before="280"/>
      <w:outlineLvl w:val="1"/>
    </w:pPr>
    <w:rPr>
      <w:rFonts w:ascii="Georgia" w:cs="Georgia" w:eastAsia="Georgia" w:hAnsi="Georgia"/>
      <w:b/>
      <w:bCs/>
      <w:color w:val="1E2761"/>
      <w:sz w:val="28"/>
      <w:szCs w:val="28"/>
    </w:rPr>
  </w:style>
  <w:style w:type="paragraph" w:styleId="Heading3">
    <w:name w:val="Heading 3"/>
    <w:basedOn w:val="Normal"/>
    <w:next w:val="Normal"/>
    <w:qFormat/>
    <w:pPr>
      <w:spacing w:after="100" w:before="200"/>
      <w:outlineLvl w:val="2"/>
    </w:pPr>
    <w:rPr>
      <w:rFonts w:ascii="Georgia" w:cs="Georgia" w:eastAsia="Georgia" w:hAnsi="Georgia"/>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2026-06-11T00:39:53.562Z</dcterms:created>
  <dcterms:modified xsi:type="dcterms:W3CDTF">2026-06-11T00:39:53.562Z</dcterms:modified>
</cp:coreProperties>
</file>

<file path=docProps/custom.xml><?xml version="1.0" encoding="utf-8"?>
<Properties xmlns="http://schemas.openxmlformats.org/officeDocument/2006/custom-properties" xmlns:vt="http://schemas.openxmlformats.org/officeDocument/2006/docPropsVTypes"/>
</file>